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2127"/>
        <w:gridCol w:w="1073"/>
        <w:gridCol w:w="1073"/>
        <w:gridCol w:w="1073"/>
        <w:gridCol w:w="1073"/>
        <w:gridCol w:w="1073"/>
        <w:gridCol w:w="1073"/>
        <w:gridCol w:w="1074"/>
      </w:tblGrid>
      <w:tr w:rsidR="007D2D88" w:rsidTr="00036471">
        <w:trPr>
          <w:trHeight w:val="288"/>
        </w:trPr>
        <w:tc>
          <w:tcPr>
            <w:tcW w:w="2127" w:type="dxa"/>
            <w:tcBorders>
              <w:top w:val="single" w:sz="4" w:space="0" w:color="auto"/>
              <w:left w:val="single" w:sz="4" w:space="0" w:color="auto"/>
              <w:bottom w:val="single" w:sz="4" w:space="0" w:color="auto"/>
              <w:right w:val="single" w:sz="4" w:space="0" w:color="auto"/>
            </w:tcBorders>
            <w:shd w:val="clear" w:color="000000" w:fill="002060"/>
            <w:noWrap/>
            <w:vAlign w:val="center"/>
            <w:hideMark/>
          </w:tcPr>
          <w:p w:rsidR="007D2D88" w:rsidRDefault="007D2D88" w:rsidP="00036471">
            <w:pPr>
              <w:rPr>
                <w:rFonts w:ascii="Calibri" w:hAnsi="Calibri" w:cs="Calibri"/>
                <w:b/>
                <w:bCs/>
                <w:color w:val="FFFFFF"/>
                <w:sz w:val="22"/>
                <w:szCs w:val="22"/>
              </w:rPr>
            </w:pPr>
            <w:r>
              <w:rPr>
                <w:rFonts w:ascii="Calibri" w:hAnsi="Calibri" w:cs="Calibri"/>
                <w:b/>
                <w:bCs/>
                <w:color w:val="FFFFFF"/>
                <w:sz w:val="22"/>
                <w:szCs w:val="22"/>
              </w:rPr>
              <w:t>Particular</w:t>
            </w:r>
          </w:p>
        </w:tc>
        <w:tc>
          <w:tcPr>
            <w:tcW w:w="1073" w:type="dxa"/>
            <w:tcBorders>
              <w:top w:val="single" w:sz="4" w:space="0" w:color="auto"/>
              <w:left w:val="nil"/>
              <w:bottom w:val="single" w:sz="4" w:space="0" w:color="auto"/>
              <w:right w:val="single" w:sz="4" w:space="0" w:color="auto"/>
            </w:tcBorders>
            <w:shd w:val="clear" w:color="000000" w:fill="002060"/>
            <w:noWrap/>
            <w:vAlign w:val="center"/>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 xml:space="preserve">2027-28 </w:t>
            </w:r>
          </w:p>
        </w:tc>
        <w:tc>
          <w:tcPr>
            <w:tcW w:w="1073" w:type="dxa"/>
            <w:tcBorders>
              <w:top w:val="single" w:sz="4" w:space="0" w:color="auto"/>
              <w:left w:val="nil"/>
              <w:bottom w:val="single" w:sz="4" w:space="0" w:color="auto"/>
              <w:right w:val="single" w:sz="4" w:space="0" w:color="auto"/>
            </w:tcBorders>
            <w:shd w:val="clear" w:color="000000" w:fill="002060"/>
            <w:noWrap/>
            <w:vAlign w:val="center"/>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 xml:space="preserve">2028-29 </w:t>
            </w:r>
          </w:p>
        </w:tc>
        <w:tc>
          <w:tcPr>
            <w:tcW w:w="1073" w:type="dxa"/>
            <w:tcBorders>
              <w:top w:val="single" w:sz="4" w:space="0" w:color="auto"/>
              <w:left w:val="nil"/>
              <w:bottom w:val="single" w:sz="4" w:space="0" w:color="auto"/>
              <w:right w:val="single" w:sz="4" w:space="0" w:color="auto"/>
            </w:tcBorders>
            <w:shd w:val="clear" w:color="000000" w:fill="002060"/>
            <w:noWrap/>
            <w:vAlign w:val="center"/>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 xml:space="preserve">2029-30 </w:t>
            </w:r>
          </w:p>
        </w:tc>
        <w:tc>
          <w:tcPr>
            <w:tcW w:w="1073" w:type="dxa"/>
            <w:tcBorders>
              <w:top w:val="single" w:sz="4" w:space="0" w:color="auto"/>
              <w:left w:val="nil"/>
              <w:bottom w:val="single" w:sz="4" w:space="0" w:color="auto"/>
              <w:right w:val="single" w:sz="4" w:space="0" w:color="auto"/>
            </w:tcBorders>
            <w:shd w:val="clear" w:color="000000" w:fill="002060"/>
            <w:noWrap/>
            <w:vAlign w:val="center"/>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 xml:space="preserve">2030-31 </w:t>
            </w:r>
          </w:p>
        </w:tc>
        <w:tc>
          <w:tcPr>
            <w:tcW w:w="1073" w:type="dxa"/>
            <w:tcBorders>
              <w:top w:val="single" w:sz="4" w:space="0" w:color="auto"/>
              <w:left w:val="nil"/>
              <w:bottom w:val="single" w:sz="4" w:space="0" w:color="auto"/>
              <w:right w:val="single" w:sz="4" w:space="0" w:color="auto"/>
            </w:tcBorders>
            <w:shd w:val="clear" w:color="000000" w:fill="002060"/>
            <w:noWrap/>
            <w:vAlign w:val="center"/>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 xml:space="preserve">2031-32 </w:t>
            </w:r>
          </w:p>
        </w:tc>
        <w:tc>
          <w:tcPr>
            <w:tcW w:w="1073" w:type="dxa"/>
            <w:tcBorders>
              <w:top w:val="single" w:sz="4" w:space="0" w:color="auto"/>
              <w:left w:val="nil"/>
              <w:bottom w:val="single" w:sz="4" w:space="0" w:color="auto"/>
              <w:right w:val="single" w:sz="4" w:space="0" w:color="auto"/>
            </w:tcBorders>
            <w:shd w:val="clear" w:color="000000" w:fill="002060"/>
            <w:noWrap/>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203</w:t>
            </w:r>
            <w:r>
              <w:rPr>
                <w:rFonts w:ascii="Calibri" w:hAnsi="Calibri" w:cs="Calibri"/>
                <w:b/>
                <w:bCs/>
                <w:sz w:val="22"/>
                <w:szCs w:val="22"/>
              </w:rPr>
              <w:t>2</w:t>
            </w:r>
            <w:r w:rsidRPr="00202693">
              <w:rPr>
                <w:rFonts w:ascii="Calibri" w:hAnsi="Calibri" w:cs="Calibri"/>
                <w:b/>
                <w:bCs/>
                <w:sz w:val="22"/>
                <w:szCs w:val="22"/>
              </w:rPr>
              <w:t>-3</w:t>
            </w:r>
            <w:r>
              <w:rPr>
                <w:rFonts w:ascii="Calibri" w:hAnsi="Calibri" w:cs="Calibri"/>
                <w:b/>
                <w:bCs/>
                <w:sz w:val="22"/>
                <w:szCs w:val="22"/>
              </w:rPr>
              <w:t>3</w:t>
            </w:r>
            <w:r w:rsidRPr="00202693">
              <w:rPr>
                <w:rFonts w:ascii="Calibri" w:hAnsi="Calibri" w:cs="Calibri"/>
                <w:b/>
                <w:bCs/>
                <w:sz w:val="22"/>
                <w:szCs w:val="22"/>
              </w:rPr>
              <w:t xml:space="preserve"> </w:t>
            </w:r>
          </w:p>
        </w:tc>
        <w:tc>
          <w:tcPr>
            <w:tcW w:w="1074" w:type="dxa"/>
            <w:tcBorders>
              <w:top w:val="single" w:sz="4" w:space="0" w:color="auto"/>
              <w:left w:val="nil"/>
              <w:bottom w:val="single" w:sz="4" w:space="0" w:color="auto"/>
              <w:right w:val="single" w:sz="4" w:space="0" w:color="auto"/>
            </w:tcBorders>
            <w:shd w:val="clear" w:color="000000" w:fill="002060"/>
            <w:noWrap/>
            <w:hideMark/>
          </w:tcPr>
          <w:p w:rsidR="007D2D88" w:rsidRDefault="007D2D88" w:rsidP="00036471">
            <w:pPr>
              <w:jc w:val="center"/>
              <w:rPr>
                <w:rFonts w:ascii="Calibri" w:hAnsi="Calibri" w:cs="Calibri"/>
                <w:b/>
                <w:bCs/>
                <w:color w:val="FFFFFF"/>
                <w:sz w:val="22"/>
                <w:szCs w:val="22"/>
              </w:rPr>
            </w:pPr>
            <w:r w:rsidRPr="00202693">
              <w:rPr>
                <w:rFonts w:ascii="Calibri" w:hAnsi="Calibri" w:cs="Calibri"/>
                <w:b/>
                <w:bCs/>
                <w:sz w:val="22"/>
                <w:szCs w:val="22"/>
              </w:rPr>
              <w:t>203</w:t>
            </w:r>
            <w:r>
              <w:rPr>
                <w:rFonts w:ascii="Calibri" w:hAnsi="Calibri" w:cs="Calibri"/>
                <w:b/>
                <w:bCs/>
                <w:sz w:val="22"/>
                <w:szCs w:val="22"/>
              </w:rPr>
              <w:t>3</w:t>
            </w:r>
            <w:r w:rsidRPr="00202693">
              <w:rPr>
                <w:rFonts w:ascii="Calibri" w:hAnsi="Calibri" w:cs="Calibri"/>
                <w:b/>
                <w:bCs/>
                <w:sz w:val="22"/>
                <w:szCs w:val="22"/>
              </w:rPr>
              <w:t>-3</w:t>
            </w:r>
            <w:r>
              <w:rPr>
                <w:rFonts w:ascii="Calibri" w:hAnsi="Calibri" w:cs="Calibri"/>
                <w:b/>
                <w:bCs/>
                <w:sz w:val="22"/>
                <w:szCs w:val="22"/>
              </w:rPr>
              <w:t>4</w:t>
            </w:r>
            <w:r w:rsidRPr="00202693">
              <w:rPr>
                <w:rFonts w:ascii="Calibri" w:hAnsi="Calibri" w:cs="Calibri"/>
                <w:b/>
                <w:bCs/>
                <w:sz w:val="22"/>
                <w:szCs w:val="22"/>
              </w:rPr>
              <w:t xml:space="preserve"> </w:t>
            </w:r>
          </w:p>
        </w:tc>
      </w:tr>
      <w:tr w:rsidR="007D2D88" w:rsidTr="00036471">
        <w:trPr>
          <w:trHeight w:val="288"/>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7D2D88" w:rsidRDefault="007D2D88" w:rsidP="00036471">
            <w:pPr>
              <w:rPr>
                <w:rFonts w:ascii="Calibri" w:hAnsi="Calibri" w:cs="Calibri"/>
                <w:sz w:val="22"/>
                <w:szCs w:val="22"/>
              </w:rPr>
            </w:pPr>
            <w:r>
              <w:rPr>
                <w:rFonts w:ascii="Calibri" w:hAnsi="Calibri" w:cs="Calibri"/>
                <w:sz w:val="22"/>
                <w:szCs w:val="22"/>
              </w:rPr>
              <w:t xml:space="preserve">Revenue </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891.94</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1107.25</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1262.25</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1375.02</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1495.93</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1625.48</w:t>
            </w:r>
          </w:p>
        </w:tc>
        <w:tc>
          <w:tcPr>
            <w:tcW w:w="1074"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1764.25</w:t>
            </w:r>
          </w:p>
        </w:tc>
      </w:tr>
      <w:tr w:rsidR="007D2D88" w:rsidTr="00036471">
        <w:trPr>
          <w:trHeight w:val="288"/>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7D2D88" w:rsidRDefault="007D2D88" w:rsidP="00036471">
            <w:pPr>
              <w:rPr>
                <w:rFonts w:ascii="Calibri" w:hAnsi="Calibri" w:cs="Calibri"/>
                <w:sz w:val="22"/>
                <w:szCs w:val="22"/>
              </w:rPr>
            </w:pPr>
            <w:r>
              <w:rPr>
                <w:rFonts w:ascii="Calibri" w:hAnsi="Calibri" w:cs="Calibri"/>
                <w:sz w:val="22"/>
                <w:szCs w:val="22"/>
              </w:rPr>
              <w:t xml:space="preserve">EBITDA  </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304.23</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405.10</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470.52</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510.06</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551.83</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595.85</w:t>
            </w:r>
          </w:p>
        </w:tc>
        <w:tc>
          <w:tcPr>
            <w:tcW w:w="1074"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642.20</w:t>
            </w:r>
          </w:p>
        </w:tc>
      </w:tr>
      <w:tr w:rsidR="007D2D88" w:rsidTr="00036471">
        <w:trPr>
          <w:trHeight w:val="405"/>
        </w:trPr>
        <w:tc>
          <w:tcPr>
            <w:tcW w:w="2127" w:type="dxa"/>
            <w:tcBorders>
              <w:top w:val="nil"/>
              <w:left w:val="single" w:sz="4" w:space="0" w:color="auto"/>
              <w:bottom w:val="single" w:sz="4" w:space="0" w:color="auto"/>
              <w:right w:val="single" w:sz="4" w:space="0" w:color="auto"/>
            </w:tcBorders>
            <w:shd w:val="clear" w:color="auto" w:fill="ACB9CA" w:themeFill="text2" w:themeFillTint="66"/>
            <w:noWrap/>
            <w:vAlign w:val="center"/>
            <w:hideMark/>
          </w:tcPr>
          <w:p w:rsidR="007D2D88" w:rsidRDefault="007D2D88" w:rsidP="00036471">
            <w:pPr>
              <w:rPr>
                <w:rFonts w:ascii="Calibri" w:hAnsi="Calibri" w:cs="Calibri"/>
                <w:b/>
                <w:bCs/>
                <w:sz w:val="22"/>
                <w:szCs w:val="22"/>
              </w:rPr>
            </w:pPr>
            <w:r>
              <w:rPr>
                <w:rFonts w:ascii="Calibri" w:hAnsi="Calibri" w:cs="Calibri"/>
                <w:b/>
                <w:bCs/>
                <w:sz w:val="22"/>
                <w:szCs w:val="22"/>
              </w:rPr>
              <w:t>EBITDA Margin %</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34.11%</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36.59%</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37.28%</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37.10%</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36.89%</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36.66%</w:t>
            </w:r>
          </w:p>
        </w:tc>
        <w:tc>
          <w:tcPr>
            <w:tcW w:w="1074"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36.40%</w:t>
            </w:r>
          </w:p>
        </w:tc>
      </w:tr>
      <w:tr w:rsidR="007D2D88" w:rsidTr="00036471">
        <w:trPr>
          <w:trHeight w:val="288"/>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7D2D88" w:rsidRDefault="007D2D88" w:rsidP="00036471">
            <w:pPr>
              <w:rPr>
                <w:rFonts w:ascii="Calibri" w:hAnsi="Calibri" w:cs="Calibri"/>
                <w:b/>
                <w:bCs/>
                <w:sz w:val="22"/>
                <w:szCs w:val="22"/>
              </w:rPr>
            </w:pPr>
            <w:r>
              <w:rPr>
                <w:rFonts w:ascii="Calibri" w:hAnsi="Calibri" w:cs="Calibri"/>
                <w:b/>
                <w:bCs/>
                <w:sz w:val="22"/>
                <w:szCs w:val="22"/>
              </w:rPr>
              <w:t>EBIT</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-9.21</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127.54</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223.98</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290.61</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356.17</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421.21</w:t>
            </w:r>
          </w:p>
        </w:tc>
        <w:tc>
          <w:tcPr>
            <w:tcW w:w="1074"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486.18</w:t>
            </w:r>
          </w:p>
        </w:tc>
      </w:tr>
      <w:tr w:rsidR="007D2D88" w:rsidTr="00036471">
        <w:trPr>
          <w:trHeight w:val="360"/>
        </w:trPr>
        <w:tc>
          <w:tcPr>
            <w:tcW w:w="2127" w:type="dxa"/>
            <w:tcBorders>
              <w:top w:val="nil"/>
              <w:left w:val="single" w:sz="4" w:space="0" w:color="auto"/>
              <w:bottom w:val="single" w:sz="4" w:space="0" w:color="auto"/>
              <w:right w:val="single" w:sz="4" w:space="0" w:color="auto"/>
            </w:tcBorders>
            <w:shd w:val="clear" w:color="auto" w:fill="ACB9CA" w:themeFill="text2" w:themeFillTint="66"/>
            <w:noWrap/>
            <w:vAlign w:val="center"/>
            <w:hideMark/>
          </w:tcPr>
          <w:p w:rsidR="007D2D88" w:rsidRDefault="007D2D88" w:rsidP="00036471">
            <w:pPr>
              <w:rPr>
                <w:rFonts w:ascii="Calibri" w:hAnsi="Calibri" w:cs="Calibri"/>
                <w:b/>
                <w:bCs/>
                <w:sz w:val="22"/>
                <w:szCs w:val="22"/>
              </w:rPr>
            </w:pPr>
            <w:r>
              <w:rPr>
                <w:rFonts w:ascii="Calibri" w:hAnsi="Calibri" w:cs="Calibri"/>
                <w:b/>
                <w:bCs/>
                <w:sz w:val="22"/>
                <w:szCs w:val="22"/>
              </w:rPr>
              <w:t>EBIT Margin %</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-1.03%</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11.52%</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17.74%</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21.13%</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23.81%</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25.91%</w:t>
            </w:r>
          </w:p>
        </w:tc>
        <w:tc>
          <w:tcPr>
            <w:tcW w:w="1074"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27.56%</w:t>
            </w:r>
          </w:p>
        </w:tc>
      </w:tr>
      <w:tr w:rsidR="007D2D88" w:rsidTr="00036471">
        <w:trPr>
          <w:trHeight w:val="360"/>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7D2D88" w:rsidRDefault="007D2D88" w:rsidP="00036471">
            <w:pPr>
              <w:rPr>
                <w:rFonts w:ascii="Calibri" w:hAnsi="Calibri" w:cs="Calibri"/>
                <w:sz w:val="22"/>
                <w:szCs w:val="22"/>
              </w:rPr>
            </w:pPr>
            <w:r>
              <w:rPr>
                <w:rFonts w:ascii="Calibri" w:hAnsi="Calibri" w:cs="Calibri"/>
                <w:sz w:val="22"/>
                <w:szCs w:val="22"/>
              </w:rPr>
              <w:t xml:space="preserve">Net profit  </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-208.59</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-66.71</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35.73</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108.36</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167.58</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182.15</w:t>
            </w:r>
          </w:p>
        </w:tc>
        <w:tc>
          <w:tcPr>
            <w:tcW w:w="1074"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236.03</w:t>
            </w:r>
          </w:p>
        </w:tc>
      </w:tr>
      <w:tr w:rsidR="007D2D88" w:rsidTr="00036471">
        <w:trPr>
          <w:trHeight w:val="360"/>
        </w:trPr>
        <w:tc>
          <w:tcPr>
            <w:tcW w:w="2127" w:type="dxa"/>
            <w:tcBorders>
              <w:top w:val="nil"/>
              <w:left w:val="single" w:sz="4" w:space="0" w:color="auto"/>
              <w:bottom w:val="single" w:sz="4" w:space="0" w:color="auto"/>
              <w:right w:val="single" w:sz="4" w:space="0" w:color="auto"/>
            </w:tcBorders>
            <w:shd w:val="clear" w:color="auto" w:fill="ACB9CA" w:themeFill="text2" w:themeFillTint="66"/>
            <w:noWrap/>
            <w:vAlign w:val="center"/>
            <w:hideMark/>
          </w:tcPr>
          <w:p w:rsidR="007D2D88" w:rsidRDefault="007D2D88" w:rsidP="00036471">
            <w:pPr>
              <w:rPr>
                <w:rFonts w:ascii="Calibri" w:hAnsi="Calibri" w:cs="Calibri"/>
                <w:b/>
                <w:bCs/>
                <w:sz w:val="22"/>
                <w:szCs w:val="22"/>
              </w:rPr>
            </w:pPr>
            <w:r>
              <w:rPr>
                <w:rFonts w:ascii="Calibri" w:hAnsi="Calibri" w:cs="Calibri"/>
                <w:b/>
                <w:bCs/>
                <w:sz w:val="22"/>
                <w:szCs w:val="22"/>
              </w:rPr>
              <w:t>--Net Profit Margin %</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-23.39%</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-6.02%</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2.83%</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7.88%</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11.20%</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11.21%</w:t>
            </w:r>
          </w:p>
        </w:tc>
        <w:tc>
          <w:tcPr>
            <w:tcW w:w="1074"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13.38%</w:t>
            </w:r>
          </w:p>
        </w:tc>
      </w:tr>
      <w:tr w:rsidR="007D2D88" w:rsidTr="00036471">
        <w:trPr>
          <w:trHeight w:val="288"/>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7D2D88" w:rsidRDefault="007D2D88" w:rsidP="00036471">
            <w:pPr>
              <w:rPr>
                <w:rFonts w:ascii="Calibri" w:hAnsi="Calibri" w:cs="Calibri"/>
                <w:sz w:val="22"/>
                <w:szCs w:val="22"/>
              </w:rPr>
            </w:pPr>
            <w:r>
              <w:rPr>
                <w:rFonts w:ascii="Calibri" w:hAnsi="Calibri" w:cs="Calibri"/>
                <w:sz w:val="22"/>
                <w:szCs w:val="22"/>
              </w:rPr>
              <w:t xml:space="preserve">Revenue </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891.94</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1107.25</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1262.25</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1375.02</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1495.93</w:t>
            </w:r>
          </w:p>
        </w:tc>
        <w:tc>
          <w:tcPr>
            <w:tcW w:w="1073"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1625.48</w:t>
            </w:r>
          </w:p>
        </w:tc>
        <w:tc>
          <w:tcPr>
            <w:tcW w:w="1074" w:type="dxa"/>
            <w:tcBorders>
              <w:top w:val="nil"/>
              <w:left w:val="nil"/>
              <w:bottom w:val="single" w:sz="4" w:space="0" w:color="auto"/>
              <w:right w:val="single" w:sz="4" w:space="0" w:color="auto"/>
            </w:tcBorders>
            <w:shd w:val="clear" w:color="auto" w:fill="auto"/>
            <w:noWrap/>
            <w:vAlign w:val="center"/>
            <w:hideMark/>
          </w:tcPr>
          <w:p w:rsidR="007D2D88" w:rsidRDefault="007D2D88" w:rsidP="00036471">
            <w:pPr>
              <w:jc w:val="center"/>
              <w:rPr>
                <w:rFonts w:ascii="Calibri" w:hAnsi="Calibri" w:cs="Calibri"/>
                <w:sz w:val="22"/>
                <w:szCs w:val="22"/>
              </w:rPr>
            </w:pPr>
            <w:r>
              <w:rPr>
                <w:rFonts w:ascii="Calibri" w:hAnsi="Calibri" w:cs="Calibri"/>
                <w:sz w:val="22"/>
                <w:szCs w:val="22"/>
              </w:rPr>
              <w:t>1764.25</w:t>
            </w:r>
          </w:p>
        </w:tc>
      </w:tr>
      <w:tr w:rsidR="007D2D88" w:rsidTr="00036471">
        <w:trPr>
          <w:trHeight w:val="360"/>
        </w:trPr>
        <w:tc>
          <w:tcPr>
            <w:tcW w:w="2127" w:type="dxa"/>
            <w:tcBorders>
              <w:top w:val="nil"/>
              <w:left w:val="single" w:sz="4" w:space="0" w:color="auto"/>
              <w:bottom w:val="single" w:sz="4" w:space="0" w:color="auto"/>
              <w:right w:val="single" w:sz="4" w:space="0" w:color="auto"/>
            </w:tcBorders>
            <w:shd w:val="clear" w:color="auto" w:fill="ACB9CA" w:themeFill="text2" w:themeFillTint="66"/>
            <w:noWrap/>
            <w:vAlign w:val="center"/>
            <w:hideMark/>
          </w:tcPr>
          <w:p w:rsidR="007D2D88" w:rsidRDefault="007D2D88" w:rsidP="00036471">
            <w:pPr>
              <w:rPr>
                <w:rFonts w:ascii="Calibri" w:hAnsi="Calibri" w:cs="Calibri"/>
                <w:b/>
                <w:bCs/>
                <w:sz w:val="22"/>
                <w:szCs w:val="22"/>
              </w:rPr>
            </w:pPr>
            <w:r>
              <w:rPr>
                <w:rFonts w:ascii="Calibri" w:hAnsi="Calibri" w:cs="Calibri"/>
                <w:b/>
                <w:bCs/>
                <w:sz w:val="22"/>
                <w:szCs w:val="22"/>
              </w:rPr>
              <w:t>Revenue Growth Rate %</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0.00%</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24.14%</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14.00%</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8.93%</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8.79%</w:t>
            </w:r>
          </w:p>
        </w:tc>
        <w:tc>
          <w:tcPr>
            <w:tcW w:w="1073"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8.66%</w:t>
            </w:r>
          </w:p>
        </w:tc>
        <w:tc>
          <w:tcPr>
            <w:tcW w:w="1074" w:type="dxa"/>
            <w:tcBorders>
              <w:top w:val="nil"/>
              <w:left w:val="nil"/>
              <w:bottom w:val="single" w:sz="4" w:space="0" w:color="auto"/>
              <w:right w:val="single" w:sz="4" w:space="0" w:color="auto"/>
            </w:tcBorders>
            <w:shd w:val="clear" w:color="auto" w:fill="ACB9CA" w:themeFill="text2" w:themeFillTint="66"/>
            <w:noWrap/>
            <w:vAlign w:val="center"/>
            <w:hideMark/>
          </w:tcPr>
          <w:p w:rsidR="007D2D88" w:rsidRDefault="007D2D88" w:rsidP="00036471">
            <w:pPr>
              <w:jc w:val="center"/>
              <w:rPr>
                <w:rFonts w:ascii="Calibri" w:hAnsi="Calibri" w:cs="Calibri"/>
                <w:b/>
                <w:bCs/>
                <w:sz w:val="22"/>
                <w:szCs w:val="22"/>
              </w:rPr>
            </w:pPr>
            <w:r>
              <w:rPr>
                <w:rFonts w:ascii="Calibri" w:hAnsi="Calibri" w:cs="Calibri"/>
                <w:b/>
                <w:bCs/>
                <w:sz w:val="22"/>
                <w:szCs w:val="22"/>
              </w:rPr>
              <w:t>8.54%</w:t>
            </w:r>
          </w:p>
        </w:tc>
      </w:tr>
    </w:tbl>
    <w:p w:rsidR="0016464E" w:rsidRDefault="0016464E"/>
    <w:p w:rsidR="0034498E" w:rsidRDefault="0034498E" w:rsidP="00C4141C">
      <w:pPr>
        <w:jc w:val="both"/>
        <w:rPr>
          <w:rFonts w:ascii="Calibri" w:hAnsi="Calibri" w:cs="Calibri"/>
        </w:rPr>
      </w:pPr>
    </w:p>
    <w:p w:rsidR="0034498E" w:rsidRDefault="0034498E" w:rsidP="00C4141C">
      <w:pPr>
        <w:jc w:val="both"/>
        <w:rPr>
          <w:rFonts w:ascii="Calibri" w:hAnsi="Calibri" w:cs="Calibri"/>
        </w:rPr>
      </w:pPr>
      <w:r w:rsidRPr="0034498E">
        <w:rPr>
          <w:rFonts w:ascii="Calibri" w:hAnsi="Calibri" w:cs="Calibri"/>
          <w:b/>
          <w:u w:val="single"/>
        </w:rPr>
        <w:t>EBITDA Margin</w:t>
      </w:r>
      <w:r>
        <w:rPr>
          <w:rFonts w:ascii="Calibri" w:hAnsi="Calibri" w:cs="Calibri"/>
        </w:rPr>
        <w:t>-</w:t>
      </w:r>
    </w:p>
    <w:p w:rsidR="0034498E" w:rsidRDefault="0034498E" w:rsidP="00C4141C">
      <w:pPr>
        <w:jc w:val="both"/>
        <w:rPr>
          <w:rFonts w:ascii="Calibri" w:hAnsi="Calibri" w:cs="Calibri"/>
        </w:rPr>
      </w:pPr>
    </w:p>
    <w:p w:rsidR="0016464E" w:rsidRPr="00C4141C" w:rsidRDefault="002D094E" w:rsidP="00C4141C">
      <w:pPr>
        <w:jc w:val="both"/>
        <w:rPr>
          <w:rFonts w:ascii="Calibri" w:hAnsi="Calibri" w:cs="Calibri"/>
        </w:rPr>
      </w:pPr>
      <w:r w:rsidRPr="00C4141C">
        <w:rPr>
          <w:rFonts w:ascii="Calibri" w:hAnsi="Calibri" w:cs="Calibri"/>
        </w:rPr>
        <w:t xml:space="preserve">EBITDA margin provides insights into a company's operating efficiency, profitability, and overall financial health. Here’s a structured approach to </w:t>
      </w:r>
      <w:r w:rsidR="0016464E" w:rsidRPr="00C4141C">
        <w:rPr>
          <w:rFonts w:ascii="Calibri" w:hAnsi="Calibri" w:cs="Calibri"/>
        </w:rPr>
        <w:t>analysing</w:t>
      </w:r>
      <w:r w:rsidRPr="00C4141C">
        <w:rPr>
          <w:rFonts w:ascii="Calibri" w:hAnsi="Calibri" w:cs="Calibri"/>
        </w:rPr>
        <w:t xml:space="preserve"> EBITDA margin:</w:t>
      </w:r>
    </w:p>
    <w:p w:rsidR="009E74A6" w:rsidRPr="00E95A2A" w:rsidRDefault="009E74A6" w:rsidP="0034498E">
      <w:pPr>
        <w:pStyle w:val="NormalWeb"/>
        <w:numPr>
          <w:ilvl w:val="0"/>
          <w:numId w:val="20"/>
        </w:numPr>
        <w:ind w:left="426"/>
        <w:rPr>
          <w:rFonts w:ascii="Calibri" w:hAnsi="Calibri" w:cs="Calibri"/>
          <w:b/>
          <w:highlight w:val="green"/>
          <w:lang w:val="en-IN"/>
        </w:rPr>
      </w:pPr>
      <w:r w:rsidRPr="00E95A2A">
        <w:rPr>
          <w:rFonts w:ascii="Calibri" w:hAnsi="Calibri" w:cs="Calibri"/>
          <w:b/>
          <w:bCs/>
          <w:highlight w:val="green"/>
          <w:lang w:val="en-IN"/>
        </w:rPr>
        <w:t>Revenue Growth</w:t>
      </w:r>
      <w:r w:rsidRPr="00E95A2A">
        <w:rPr>
          <w:rFonts w:ascii="Calibri" w:hAnsi="Calibri" w:cs="Calibri"/>
          <w:b/>
          <w:highlight w:val="green"/>
          <w:lang w:val="en-IN"/>
        </w:rPr>
        <w:t>:</w:t>
      </w:r>
    </w:p>
    <w:p w:rsidR="009E74A6" w:rsidRPr="00E95A2A" w:rsidRDefault="009E74A6" w:rsidP="0034498E">
      <w:pPr>
        <w:numPr>
          <w:ilvl w:val="0"/>
          <w:numId w:val="13"/>
        </w:numPr>
        <w:spacing w:before="100" w:beforeAutospacing="1" w:after="100" w:afterAutospacing="1"/>
        <w:jc w:val="both"/>
        <w:rPr>
          <w:rFonts w:ascii="Calibri" w:hAnsi="Calibri" w:cs="Calibri"/>
          <w:highlight w:val="green"/>
        </w:rPr>
      </w:pPr>
      <w:r w:rsidRPr="00E95A2A">
        <w:rPr>
          <w:rFonts w:ascii="Calibri" w:hAnsi="Calibri" w:cs="Calibri"/>
          <w:highlight w:val="green"/>
        </w:rPr>
        <w:t xml:space="preserve">Revenue is projected to grow each year, from </w:t>
      </w:r>
      <w:r w:rsidR="0004129D">
        <w:rPr>
          <w:rFonts w:ascii="Calibri" w:hAnsi="Calibri" w:cs="Calibri"/>
          <w:highlight w:val="green"/>
        </w:rPr>
        <w:t>Rs.</w:t>
      </w:r>
      <w:r w:rsidRPr="00E95A2A">
        <w:rPr>
          <w:rFonts w:ascii="Calibri" w:hAnsi="Calibri" w:cs="Calibri"/>
          <w:highlight w:val="green"/>
        </w:rPr>
        <w:t>891.94</w:t>
      </w:r>
      <w:r w:rsidR="00E95A2A" w:rsidRPr="00E95A2A">
        <w:rPr>
          <w:rFonts w:ascii="Calibri" w:hAnsi="Calibri" w:cs="Calibri"/>
          <w:highlight w:val="green"/>
        </w:rPr>
        <w:t xml:space="preserve"> lakhs</w:t>
      </w:r>
      <w:r w:rsidRPr="00E95A2A">
        <w:rPr>
          <w:rFonts w:ascii="Calibri" w:hAnsi="Calibri" w:cs="Calibri"/>
          <w:highlight w:val="green"/>
        </w:rPr>
        <w:t xml:space="preserve"> in 2027-28 to </w:t>
      </w:r>
      <w:r w:rsidR="0004129D">
        <w:rPr>
          <w:rFonts w:ascii="Calibri" w:hAnsi="Calibri" w:cs="Calibri"/>
          <w:highlight w:val="green"/>
        </w:rPr>
        <w:t>Rs.</w:t>
      </w:r>
      <w:r w:rsidRPr="00E95A2A">
        <w:rPr>
          <w:rFonts w:ascii="Calibri" w:hAnsi="Calibri" w:cs="Calibri"/>
          <w:highlight w:val="green"/>
        </w:rPr>
        <w:t>2364.26</w:t>
      </w:r>
      <w:r w:rsidR="00E95A2A" w:rsidRPr="00E95A2A">
        <w:rPr>
          <w:rFonts w:ascii="Calibri" w:hAnsi="Calibri" w:cs="Calibri"/>
          <w:highlight w:val="green"/>
        </w:rPr>
        <w:t xml:space="preserve"> lakhs</w:t>
      </w:r>
      <w:r w:rsidRPr="00E95A2A">
        <w:rPr>
          <w:rFonts w:ascii="Calibri" w:hAnsi="Calibri" w:cs="Calibri"/>
          <w:highlight w:val="green"/>
        </w:rPr>
        <w:t xml:space="preserve"> in 2039-40.</w:t>
      </w:r>
    </w:p>
    <w:p w:rsidR="00420FCB" w:rsidRPr="00420FCB" w:rsidRDefault="009E74A6" w:rsidP="00420FCB">
      <w:pPr>
        <w:numPr>
          <w:ilvl w:val="0"/>
          <w:numId w:val="13"/>
        </w:numPr>
        <w:spacing w:before="100" w:beforeAutospacing="1" w:after="100" w:afterAutospacing="1"/>
        <w:jc w:val="both"/>
        <w:rPr>
          <w:rFonts w:ascii="Calibri" w:hAnsi="Calibri" w:cs="Calibri"/>
          <w:highlight w:val="green"/>
        </w:rPr>
      </w:pPr>
      <w:r w:rsidRPr="00E95A2A">
        <w:rPr>
          <w:rFonts w:ascii="Calibri" w:hAnsi="Calibri" w:cs="Calibri"/>
          <w:highlight w:val="green"/>
        </w:rPr>
        <w:t>This indicates consistent growth, which is a positive trend for the business</w:t>
      </w:r>
      <w:r w:rsidR="00E95A2A" w:rsidRPr="00E95A2A">
        <w:rPr>
          <w:rFonts w:ascii="Calibri" w:hAnsi="Calibri" w:cs="Calibri"/>
          <w:highlight w:val="green"/>
        </w:rPr>
        <w:t xml:space="preserve"> due to increased sales, successful market expansion, or higher demand.</w:t>
      </w:r>
      <w:r w:rsidR="00420FCB">
        <w:rPr>
          <w:rFonts w:ascii="Calibri" w:hAnsi="Calibri" w:cs="Calibri"/>
          <w:highlight w:val="green"/>
        </w:rPr>
        <w:t xml:space="preserve"> </w:t>
      </w:r>
    </w:p>
    <w:p w:rsidR="00420FCB" w:rsidRPr="00420FCB" w:rsidRDefault="00420FCB" w:rsidP="00420FCB">
      <w:pPr>
        <w:numPr>
          <w:ilvl w:val="0"/>
          <w:numId w:val="13"/>
        </w:numPr>
        <w:jc w:val="both"/>
        <w:rPr>
          <w:rFonts w:ascii="Calibri" w:hAnsi="Calibri" w:cs="Calibri"/>
          <w:highlight w:val="green"/>
        </w:rPr>
      </w:pPr>
      <w:r w:rsidRPr="00420FCB">
        <w:rPr>
          <w:rFonts w:ascii="Calibri" w:hAnsi="Calibri" w:cs="Calibri"/>
          <w:highlight w:val="green"/>
        </w:rPr>
        <w:t>The increase between each period is relatively steady, which could indicate a stable growth rate. For instance:</w:t>
      </w:r>
    </w:p>
    <w:p w:rsidR="00420FCB" w:rsidRDefault="00420FCB" w:rsidP="00EB6DD0">
      <w:pPr>
        <w:pStyle w:val="ListParagraph"/>
        <w:numPr>
          <w:ilvl w:val="0"/>
          <w:numId w:val="24"/>
        </w:numPr>
        <w:jc w:val="both"/>
        <w:rPr>
          <w:rFonts w:ascii="Calibri" w:hAnsi="Calibri" w:cs="Calibri"/>
          <w:highlight w:val="green"/>
        </w:rPr>
      </w:pPr>
      <w:r w:rsidRPr="00EB6DD0">
        <w:rPr>
          <w:rFonts w:ascii="Calibri" w:hAnsi="Calibri" w:cs="Calibri"/>
          <w:highlight w:val="green"/>
        </w:rPr>
        <w:t>From 27-28 to 28-29, revenue increased by approximately 24%.</w:t>
      </w:r>
    </w:p>
    <w:p w:rsidR="00420FCB" w:rsidRDefault="00420FCB" w:rsidP="00EB6DD0">
      <w:pPr>
        <w:pStyle w:val="ListParagraph"/>
        <w:numPr>
          <w:ilvl w:val="0"/>
          <w:numId w:val="24"/>
        </w:numPr>
        <w:jc w:val="both"/>
        <w:rPr>
          <w:rFonts w:ascii="Calibri" w:hAnsi="Calibri" w:cs="Calibri"/>
          <w:highlight w:val="green"/>
        </w:rPr>
      </w:pPr>
      <w:r w:rsidRPr="00EB6DD0">
        <w:rPr>
          <w:rFonts w:ascii="Calibri" w:hAnsi="Calibri" w:cs="Calibri"/>
          <w:highlight w:val="green"/>
        </w:rPr>
        <w:t>From 28-29 to 29-30, the increase is about 14%.</w:t>
      </w:r>
    </w:p>
    <w:p w:rsidR="00EB6DD0" w:rsidRPr="00EB6DD0" w:rsidRDefault="008B7224" w:rsidP="00EB6DD0">
      <w:pPr>
        <w:pStyle w:val="ListParagraph"/>
        <w:numPr>
          <w:ilvl w:val="0"/>
          <w:numId w:val="25"/>
        </w:numPr>
        <w:jc w:val="both"/>
        <w:rPr>
          <w:rFonts w:ascii="Calibri" w:hAnsi="Calibri" w:cs="Calibri"/>
          <w:highlight w:val="green"/>
        </w:rPr>
      </w:pPr>
      <w:r w:rsidRPr="008B7224">
        <w:rPr>
          <w:rFonts w:ascii="Calibri" w:hAnsi="Calibri" w:cs="Calibri"/>
          <w:highlight w:val="green"/>
        </w:rPr>
        <w:t>If this trend continues, the revenue could likely keep increasing in subsequent periods</w:t>
      </w:r>
    </w:p>
    <w:p w:rsidR="00420FCB" w:rsidRPr="00E95A2A" w:rsidRDefault="00420FCB" w:rsidP="00420FCB">
      <w:pPr>
        <w:ind w:left="360"/>
        <w:jc w:val="both"/>
        <w:rPr>
          <w:rFonts w:ascii="Calibri" w:hAnsi="Calibri" w:cs="Calibri"/>
          <w:highlight w:val="green"/>
        </w:rPr>
      </w:pPr>
    </w:p>
    <w:p w:rsidR="009E74A6" w:rsidRPr="009E74A6" w:rsidRDefault="009E74A6" w:rsidP="0034498E">
      <w:pPr>
        <w:pStyle w:val="NormalWeb"/>
        <w:numPr>
          <w:ilvl w:val="0"/>
          <w:numId w:val="20"/>
        </w:numPr>
        <w:ind w:left="426"/>
        <w:rPr>
          <w:rFonts w:ascii="Calibri" w:hAnsi="Calibri" w:cs="Calibri"/>
          <w:b/>
          <w:lang w:val="en-IN"/>
        </w:rPr>
      </w:pPr>
      <w:r w:rsidRPr="009E74A6">
        <w:rPr>
          <w:rFonts w:ascii="Calibri" w:hAnsi="Calibri" w:cs="Calibri"/>
          <w:b/>
          <w:bCs/>
          <w:lang w:val="en-IN"/>
        </w:rPr>
        <w:t>EBITDA Growth</w:t>
      </w:r>
      <w:r w:rsidRPr="009E74A6">
        <w:rPr>
          <w:rFonts w:ascii="Calibri" w:hAnsi="Calibri" w:cs="Calibri"/>
          <w:b/>
          <w:lang w:val="en-IN"/>
        </w:rPr>
        <w:t>:</w:t>
      </w:r>
    </w:p>
    <w:p w:rsidR="009E74A6" w:rsidRPr="009E74A6" w:rsidRDefault="009E74A6" w:rsidP="0034498E">
      <w:pPr>
        <w:numPr>
          <w:ilvl w:val="0"/>
          <w:numId w:val="14"/>
        </w:numPr>
        <w:spacing w:before="100" w:beforeAutospacing="1" w:after="100" w:afterAutospacing="1"/>
        <w:jc w:val="both"/>
        <w:rPr>
          <w:rFonts w:ascii="Calibri" w:hAnsi="Calibri" w:cs="Calibri"/>
        </w:rPr>
      </w:pPr>
      <w:r w:rsidRPr="009E74A6">
        <w:rPr>
          <w:rFonts w:ascii="Calibri" w:hAnsi="Calibri" w:cs="Calibri"/>
        </w:rPr>
        <w:t>EBITDA also shows a steady increase, moving from 304.23 in 2027-28 to 714.04 in 2039-40.</w:t>
      </w:r>
    </w:p>
    <w:p w:rsidR="009E74A6" w:rsidRPr="009E74A6" w:rsidRDefault="009E74A6" w:rsidP="0034498E">
      <w:pPr>
        <w:numPr>
          <w:ilvl w:val="0"/>
          <w:numId w:val="14"/>
        </w:numPr>
        <w:spacing w:before="100" w:beforeAutospacing="1" w:after="100" w:afterAutospacing="1"/>
        <w:jc w:val="both"/>
        <w:rPr>
          <w:rFonts w:ascii="Calibri" w:hAnsi="Calibri" w:cs="Calibri"/>
        </w:rPr>
      </w:pPr>
      <w:r w:rsidRPr="009E74A6">
        <w:rPr>
          <w:rFonts w:ascii="Calibri" w:hAnsi="Calibri" w:cs="Calibri"/>
        </w:rPr>
        <w:t>The growth in EBITDA aligns with the revenue increase, indicating effective cost management or scaling.</w:t>
      </w:r>
    </w:p>
    <w:p w:rsidR="00FE4558" w:rsidRPr="00FE4558" w:rsidRDefault="00FE4558" w:rsidP="0034498E">
      <w:pPr>
        <w:pStyle w:val="NormalWeb"/>
        <w:numPr>
          <w:ilvl w:val="0"/>
          <w:numId w:val="20"/>
        </w:numPr>
        <w:ind w:left="426"/>
        <w:rPr>
          <w:rFonts w:ascii="Calibri" w:hAnsi="Calibri" w:cs="Calibri"/>
          <w:lang w:val="en-IN"/>
        </w:rPr>
      </w:pPr>
      <w:r w:rsidRPr="00FE4558">
        <w:rPr>
          <w:rFonts w:ascii="Calibri" w:hAnsi="Calibri" w:cs="Calibri"/>
          <w:b/>
          <w:bCs/>
          <w:lang w:val="en-IN"/>
        </w:rPr>
        <w:t>EBITDA Margin %</w:t>
      </w:r>
      <w:r w:rsidRPr="00FE4558">
        <w:rPr>
          <w:rFonts w:ascii="Calibri" w:hAnsi="Calibri" w:cs="Calibri"/>
          <w:lang w:val="en-IN"/>
        </w:rPr>
        <w:t>:</w:t>
      </w:r>
    </w:p>
    <w:p w:rsidR="00FE4558" w:rsidRPr="00FE4558" w:rsidRDefault="00FE4558" w:rsidP="0034498E">
      <w:pPr>
        <w:numPr>
          <w:ilvl w:val="0"/>
          <w:numId w:val="15"/>
        </w:numPr>
        <w:spacing w:before="100" w:beforeAutospacing="1" w:after="100" w:afterAutospacing="1"/>
        <w:jc w:val="both"/>
        <w:rPr>
          <w:rFonts w:ascii="Calibri" w:hAnsi="Calibri" w:cs="Calibri"/>
        </w:rPr>
      </w:pPr>
      <w:r w:rsidRPr="00FE4558">
        <w:rPr>
          <w:rFonts w:ascii="Calibri" w:hAnsi="Calibri" w:cs="Calibri"/>
        </w:rPr>
        <w:t>EBITDA Margin % starts at 34.11% in 2027-28, reaches a peak of 37.28% in 2029-30, and gradually decreases to 30.20% by 2039-40.</w:t>
      </w:r>
    </w:p>
    <w:p w:rsidR="0034498E" w:rsidRPr="00FF522B" w:rsidRDefault="00FE4558" w:rsidP="00C4141C">
      <w:pPr>
        <w:numPr>
          <w:ilvl w:val="0"/>
          <w:numId w:val="15"/>
        </w:numPr>
        <w:spacing w:before="100" w:beforeAutospacing="1" w:after="100" w:afterAutospacing="1"/>
        <w:jc w:val="both"/>
        <w:rPr>
          <w:rFonts w:ascii="Calibri" w:hAnsi="Calibri" w:cs="Calibri"/>
        </w:rPr>
      </w:pPr>
      <w:r w:rsidRPr="00FE4558">
        <w:rPr>
          <w:rFonts w:ascii="Calibri" w:hAnsi="Calibri" w:cs="Calibri"/>
        </w:rPr>
        <w:lastRenderedPageBreak/>
        <w:t>The decreasing trend in EBITDA margin % over the years suggests that costs are rising relative to revenue, which could be due to increased operational expenses or competitive pricing pressures.</w:t>
      </w:r>
    </w:p>
    <w:p w:rsidR="0016464E" w:rsidRPr="00C4141C" w:rsidRDefault="0016464E" w:rsidP="00C4141C">
      <w:pPr>
        <w:spacing w:before="100" w:beforeAutospacing="1" w:after="100" w:afterAutospacing="1"/>
        <w:jc w:val="both"/>
        <w:rPr>
          <w:rFonts w:ascii="Calibri" w:hAnsi="Calibri" w:cs="Calibri"/>
          <w:b/>
          <w:u w:val="single"/>
        </w:rPr>
      </w:pPr>
      <w:r w:rsidRPr="00C4141C">
        <w:rPr>
          <w:rFonts w:ascii="Calibri" w:hAnsi="Calibri" w:cs="Calibri"/>
          <w:b/>
          <w:u w:val="single"/>
        </w:rPr>
        <w:t>EBIT and EBIT Margin-</w:t>
      </w:r>
    </w:p>
    <w:p w:rsidR="00FE4558" w:rsidRPr="00C4141C" w:rsidRDefault="0016464E" w:rsidP="00C4141C">
      <w:pPr>
        <w:spacing w:before="100" w:beforeAutospacing="1" w:after="100" w:afterAutospacing="1"/>
        <w:jc w:val="both"/>
        <w:rPr>
          <w:rFonts w:ascii="Calibri" w:hAnsi="Calibri" w:cs="Calibri"/>
        </w:rPr>
      </w:pPr>
      <w:r w:rsidRPr="00C4141C">
        <w:rPr>
          <w:rFonts w:ascii="Calibri" w:hAnsi="Calibri" w:cs="Calibri"/>
        </w:rPr>
        <w:t>EBIT margin provides a view into the company's core profitability after operating expenses but before interest and taxes. This margin reveals how well a company manages its production and operating costs relative to its revenue.</w:t>
      </w:r>
    </w:p>
    <w:p w:rsidR="00FE4558" w:rsidRPr="00FE4558" w:rsidRDefault="00FE4558" w:rsidP="0034498E">
      <w:pPr>
        <w:pStyle w:val="NormalWeb"/>
        <w:numPr>
          <w:ilvl w:val="0"/>
          <w:numId w:val="8"/>
        </w:numPr>
        <w:ind w:left="284"/>
        <w:rPr>
          <w:rFonts w:ascii="Calibri" w:hAnsi="Calibri" w:cs="Calibri"/>
          <w:lang w:val="en-IN"/>
        </w:rPr>
      </w:pPr>
      <w:r w:rsidRPr="00FE4558">
        <w:rPr>
          <w:rFonts w:ascii="Calibri" w:hAnsi="Calibri" w:cs="Calibri"/>
          <w:b/>
          <w:bCs/>
          <w:lang w:val="en-IN"/>
        </w:rPr>
        <w:t>EBIT Growth</w:t>
      </w:r>
      <w:r w:rsidRPr="00FE4558">
        <w:rPr>
          <w:rFonts w:ascii="Calibri" w:hAnsi="Calibri" w:cs="Calibri"/>
          <w:lang w:val="en-IN"/>
        </w:rPr>
        <w:t>:</w:t>
      </w:r>
    </w:p>
    <w:p w:rsidR="0034498E" w:rsidRDefault="00FE4558" w:rsidP="0034498E">
      <w:pPr>
        <w:pStyle w:val="ListParagraph"/>
        <w:numPr>
          <w:ilvl w:val="0"/>
          <w:numId w:val="21"/>
        </w:numPr>
        <w:spacing w:before="100" w:beforeAutospacing="1" w:after="100" w:afterAutospacing="1"/>
        <w:jc w:val="both"/>
        <w:rPr>
          <w:rFonts w:ascii="Calibri" w:hAnsi="Calibri" w:cs="Calibri"/>
        </w:rPr>
      </w:pPr>
      <w:r w:rsidRPr="0034498E">
        <w:rPr>
          <w:rFonts w:ascii="Calibri" w:hAnsi="Calibri" w:cs="Calibri"/>
        </w:rPr>
        <w:t>EBIT begins with a negative value of -9.21 in 2027-28, indicating a loss.</w:t>
      </w:r>
    </w:p>
    <w:p w:rsidR="0034498E" w:rsidRDefault="00FE4558" w:rsidP="0034498E">
      <w:pPr>
        <w:pStyle w:val="ListParagraph"/>
        <w:numPr>
          <w:ilvl w:val="0"/>
          <w:numId w:val="21"/>
        </w:numPr>
        <w:spacing w:before="100" w:beforeAutospacing="1" w:after="100" w:afterAutospacing="1"/>
        <w:jc w:val="both"/>
        <w:rPr>
          <w:rFonts w:ascii="Calibri" w:hAnsi="Calibri" w:cs="Calibri"/>
        </w:rPr>
      </w:pPr>
      <w:r w:rsidRPr="0034498E">
        <w:rPr>
          <w:rFonts w:ascii="Calibri" w:hAnsi="Calibri" w:cs="Calibri"/>
        </w:rPr>
        <w:t>From 2028-29 onwards, EBIT turns positive and grows consistently, reaching 633.85 by 2039-40.</w:t>
      </w:r>
    </w:p>
    <w:p w:rsidR="00FE4558" w:rsidRPr="0034498E" w:rsidRDefault="00FE4558" w:rsidP="0034498E">
      <w:pPr>
        <w:pStyle w:val="ListParagraph"/>
        <w:numPr>
          <w:ilvl w:val="0"/>
          <w:numId w:val="21"/>
        </w:numPr>
        <w:spacing w:before="100" w:beforeAutospacing="1" w:after="100" w:afterAutospacing="1"/>
        <w:jc w:val="both"/>
        <w:rPr>
          <w:rFonts w:ascii="Calibri" w:hAnsi="Calibri" w:cs="Calibri"/>
        </w:rPr>
      </w:pPr>
      <w:r w:rsidRPr="0034498E">
        <w:rPr>
          <w:rFonts w:ascii="Calibri" w:hAnsi="Calibri" w:cs="Calibri"/>
        </w:rPr>
        <w:t>This shows that the company expects to overcome initial losses and achieve significant profitability growth over time.</w:t>
      </w:r>
    </w:p>
    <w:p w:rsidR="00FE4558" w:rsidRPr="00FE4558" w:rsidRDefault="00FE4558" w:rsidP="0034498E">
      <w:pPr>
        <w:pStyle w:val="NormalWeb"/>
        <w:numPr>
          <w:ilvl w:val="0"/>
          <w:numId w:val="8"/>
        </w:numPr>
        <w:ind w:left="284"/>
        <w:rPr>
          <w:rFonts w:ascii="Calibri" w:hAnsi="Calibri" w:cs="Calibri"/>
          <w:lang w:val="en-IN"/>
        </w:rPr>
      </w:pPr>
      <w:r w:rsidRPr="00FE4558">
        <w:rPr>
          <w:rFonts w:ascii="Calibri" w:hAnsi="Calibri" w:cs="Calibri"/>
          <w:b/>
          <w:bCs/>
          <w:lang w:val="en-IN"/>
        </w:rPr>
        <w:t>EBIT Margin %</w:t>
      </w:r>
      <w:r w:rsidRPr="00FE4558">
        <w:rPr>
          <w:rFonts w:ascii="Calibri" w:hAnsi="Calibri" w:cs="Calibri"/>
          <w:lang w:val="en-IN"/>
        </w:rPr>
        <w:t>:</w:t>
      </w:r>
    </w:p>
    <w:p w:rsidR="00FE4558" w:rsidRPr="00FE4558" w:rsidRDefault="00FE4558" w:rsidP="00FE4558">
      <w:pPr>
        <w:numPr>
          <w:ilvl w:val="0"/>
          <w:numId w:val="17"/>
        </w:numPr>
        <w:spacing w:before="100" w:beforeAutospacing="1" w:after="100" w:afterAutospacing="1"/>
        <w:rPr>
          <w:rFonts w:ascii="Calibri" w:hAnsi="Calibri" w:cs="Calibri"/>
        </w:rPr>
      </w:pPr>
      <w:r w:rsidRPr="00FE4558">
        <w:rPr>
          <w:rFonts w:ascii="Calibri" w:hAnsi="Calibri" w:cs="Calibri"/>
        </w:rPr>
        <w:t>EBIT Margin % is initially negative at -1.03% in 2027-28, due to the negative EBIT.</w:t>
      </w:r>
    </w:p>
    <w:p w:rsidR="00FE4558" w:rsidRPr="00FE4558" w:rsidRDefault="00FE4558" w:rsidP="00FE4558">
      <w:pPr>
        <w:numPr>
          <w:ilvl w:val="0"/>
          <w:numId w:val="17"/>
        </w:numPr>
        <w:spacing w:before="100" w:beforeAutospacing="1" w:after="100" w:afterAutospacing="1"/>
        <w:rPr>
          <w:rFonts w:ascii="Calibri" w:hAnsi="Calibri" w:cs="Calibri"/>
        </w:rPr>
      </w:pPr>
      <w:r w:rsidRPr="00FE4558">
        <w:rPr>
          <w:rFonts w:ascii="Calibri" w:hAnsi="Calibri" w:cs="Calibri"/>
        </w:rPr>
        <w:t>It turns positive at 11.52% in 2028-29 and reaches a peak of 28.11% in 2035-36.</w:t>
      </w:r>
    </w:p>
    <w:p w:rsidR="00FE4558" w:rsidRDefault="00FE4558" w:rsidP="00FE4558">
      <w:pPr>
        <w:numPr>
          <w:ilvl w:val="0"/>
          <w:numId w:val="17"/>
        </w:numPr>
        <w:spacing w:before="100" w:beforeAutospacing="1" w:after="100" w:afterAutospacing="1"/>
        <w:rPr>
          <w:rFonts w:ascii="Calibri" w:hAnsi="Calibri" w:cs="Calibri"/>
        </w:rPr>
      </w:pPr>
      <w:r w:rsidRPr="00FE4558">
        <w:rPr>
          <w:rFonts w:ascii="Calibri" w:hAnsi="Calibri" w:cs="Calibri"/>
        </w:rPr>
        <w:t>Following the peak, the margin slightly declines towards 26.81% by 2039-40, suggesting a slight decrease in operational efficiency or an increase in costs relative to revenue in the later years.</w:t>
      </w:r>
    </w:p>
    <w:p w:rsidR="00CD644E" w:rsidRDefault="00CD644E" w:rsidP="00CD644E">
      <w:pPr>
        <w:spacing w:before="100" w:beforeAutospacing="1" w:after="100" w:afterAutospacing="1"/>
        <w:rPr>
          <w:rFonts w:ascii="Calibri" w:hAnsi="Calibri" w:cs="Calibri"/>
          <w:b/>
          <w:u w:val="single"/>
        </w:rPr>
      </w:pPr>
      <w:r w:rsidRPr="00CD644E">
        <w:rPr>
          <w:rFonts w:ascii="Calibri" w:hAnsi="Calibri" w:cs="Calibri"/>
          <w:b/>
          <w:u w:val="single"/>
        </w:rPr>
        <w:t xml:space="preserve">Net Profit &amp; Net profit Margin- </w:t>
      </w:r>
    </w:p>
    <w:p w:rsidR="00CD644E" w:rsidRPr="00CD644E" w:rsidRDefault="00CD644E" w:rsidP="0034498E">
      <w:pPr>
        <w:pStyle w:val="NormalWeb"/>
        <w:numPr>
          <w:ilvl w:val="0"/>
          <w:numId w:val="22"/>
        </w:numPr>
        <w:ind w:left="284"/>
        <w:rPr>
          <w:rFonts w:ascii="Calibri" w:hAnsi="Calibri" w:cs="Calibri"/>
          <w:lang w:val="en-IN"/>
        </w:rPr>
      </w:pPr>
      <w:r w:rsidRPr="00CD644E">
        <w:rPr>
          <w:rFonts w:ascii="Calibri" w:hAnsi="Calibri" w:cs="Calibri"/>
          <w:b/>
          <w:bCs/>
          <w:lang w:val="en-IN"/>
        </w:rPr>
        <w:t>Net Profit Growth</w:t>
      </w:r>
      <w:r w:rsidRPr="00CD644E">
        <w:rPr>
          <w:rFonts w:ascii="Calibri" w:hAnsi="Calibri" w:cs="Calibri"/>
          <w:lang w:val="en-IN"/>
        </w:rPr>
        <w:t>:</w:t>
      </w:r>
    </w:p>
    <w:p w:rsidR="00CD644E" w:rsidRPr="00CD644E" w:rsidRDefault="00CD644E" w:rsidP="00C1215B">
      <w:pPr>
        <w:numPr>
          <w:ilvl w:val="0"/>
          <w:numId w:val="18"/>
        </w:numPr>
        <w:spacing w:before="100" w:beforeAutospacing="1" w:after="100" w:afterAutospacing="1"/>
        <w:jc w:val="both"/>
        <w:rPr>
          <w:rFonts w:ascii="Calibri" w:hAnsi="Calibri" w:cs="Calibri"/>
        </w:rPr>
      </w:pPr>
      <w:r w:rsidRPr="00CD644E">
        <w:rPr>
          <w:rFonts w:ascii="Calibri" w:hAnsi="Calibri" w:cs="Calibri"/>
        </w:rPr>
        <w:t>The company starts with a net loss of -208.59 in 2027-28, which reduces to -66.71 in 2028-29.</w:t>
      </w:r>
    </w:p>
    <w:p w:rsidR="00CD644E" w:rsidRPr="00CD644E" w:rsidRDefault="00CD644E" w:rsidP="00C1215B">
      <w:pPr>
        <w:numPr>
          <w:ilvl w:val="0"/>
          <w:numId w:val="18"/>
        </w:numPr>
        <w:spacing w:before="100" w:beforeAutospacing="1" w:after="100" w:afterAutospacing="1"/>
        <w:jc w:val="both"/>
        <w:rPr>
          <w:rFonts w:ascii="Calibri" w:hAnsi="Calibri" w:cs="Calibri"/>
        </w:rPr>
      </w:pPr>
      <w:r w:rsidRPr="00CD644E">
        <w:rPr>
          <w:rFonts w:ascii="Calibri" w:hAnsi="Calibri" w:cs="Calibri"/>
        </w:rPr>
        <w:t>From 2029-30 onwards, the company begins to show positive net profits, reaching 440.46 by 2039-40.</w:t>
      </w:r>
    </w:p>
    <w:p w:rsidR="0034498E" w:rsidRPr="0034498E" w:rsidRDefault="00CD644E" w:rsidP="00C1215B">
      <w:pPr>
        <w:numPr>
          <w:ilvl w:val="0"/>
          <w:numId w:val="18"/>
        </w:numPr>
        <w:spacing w:before="100" w:beforeAutospacing="1" w:after="100" w:afterAutospacing="1"/>
        <w:jc w:val="both"/>
        <w:rPr>
          <w:rFonts w:ascii="Calibri" w:hAnsi="Calibri" w:cs="Calibri"/>
        </w:rPr>
      </w:pPr>
      <w:r w:rsidRPr="00CD644E">
        <w:rPr>
          <w:rFonts w:ascii="Calibri" w:hAnsi="Calibri" w:cs="Calibri"/>
        </w:rPr>
        <w:t>This reflects an anticipated turnaround from initial losses to growing profitability.</w:t>
      </w:r>
    </w:p>
    <w:p w:rsidR="00CD644E" w:rsidRPr="0034498E" w:rsidRDefault="00CD644E" w:rsidP="0034498E">
      <w:pPr>
        <w:pStyle w:val="ListParagraph"/>
        <w:numPr>
          <w:ilvl w:val="0"/>
          <w:numId w:val="22"/>
        </w:numPr>
        <w:spacing w:before="100" w:beforeAutospacing="1" w:after="100" w:afterAutospacing="1"/>
        <w:rPr>
          <w:rFonts w:ascii="Calibri" w:hAnsi="Calibri" w:cs="Calibri"/>
        </w:rPr>
      </w:pPr>
      <w:r w:rsidRPr="0034498E">
        <w:rPr>
          <w:rFonts w:ascii="Calibri" w:hAnsi="Calibri" w:cs="Calibri"/>
          <w:b/>
          <w:bCs/>
        </w:rPr>
        <w:t xml:space="preserve">Net Profit Margin </w:t>
      </w:r>
      <w:r w:rsidRPr="00C1215B">
        <w:rPr>
          <w:rFonts w:ascii="Calibri" w:hAnsi="Calibri" w:cs="Calibri"/>
          <w:b/>
          <w:bCs/>
        </w:rPr>
        <w:t>%</w:t>
      </w:r>
      <w:r w:rsidRPr="0034498E">
        <w:rPr>
          <w:rFonts w:ascii="Calibri" w:hAnsi="Calibri" w:cs="Calibri"/>
        </w:rPr>
        <w:t>:</w:t>
      </w:r>
    </w:p>
    <w:p w:rsidR="00CD644E" w:rsidRPr="00CD644E" w:rsidRDefault="00CD644E" w:rsidP="00C1215B">
      <w:pPr>
        <w:numPr>
          <w:ilvl w:val="0"/>
          <w:numId w:val="19"/>
        </w:numPr>
        <w:spacing w:before="100" w:beforeAutospacing="1" w:after="100" w:afterAutospacing="1"/>
        <w:jc w:val="both"/>
        <w:rPr>
          <w:rFonts w:ascii="Calibri" w:hAnsi="Calibri" w:cs="Calibri"/>
        </w:rPr>
      </w:pPr>
      <w:r w:rsidRPr="00CD644E">
        <w:rPr>
          <w:rFonts w:ascii="Calibri" w:hAnsi="Calibri" w:cs="Calibri"/>
        </w:rPr>
        <w:t>The Net Profit Margin % starts at -23.39% in 2027-28 and -6.02% in 2028-29, due to the initial losses.</w:t>
      </w:r>
    </w:p>
    <w:p w:rsidR="00CD644E" w:rsidRPr="00CD644E" w:rsidRDefault="00CD644E" w:rsidP="00C1215B">
      <w:pPr>
        <w:numPr>
          <w:ilvl w:val="0"/>
          <w:numId w:val="19"/>
        </w:numPr>
        <w:spacing w:before="100" w:beforeAutospacing="1" w:after="100" w:afterAutospacing="1"/>
        <w:jc w:val="both"/>
        <w:rPr>
          <w:rFonts w:ascii="Calibri" w:hAnsi="Calibri" w:cs="Calibri"/>
        </w:rPr>
      </w:pPr>
      <w:r w:rsidRPr="00CD644E">
        <w:rPr>
          <w:rFonts w:ascii="Calibri" w:hAnsi="Calibri" w:cs="Calibri"/>
        </w:rPr>
        <w:t>It becomes positive in 2029-30 at 2.83% and shows steady growth each year, reaching 18.63% by 2039-40.</w:t>
      </w:r>
    </w:p>
    <w:p w:rsidR="00CD644E" w:rsidRPr="00CD644E" w:rsidRDefault="00CD644E" w:rsidP="00C1215B">
      <w:pPr>
        <w:numPr>
          <w:ilvl w:val="0"/>
          <w:numId w:val="19"/>
        </w:numPr>
        <w:spacing w:before="100" w:beforeAutospacing="1" w:after="100" w:afterAutospacing="1"/>
        <w:jc w:val="both"/>
        <w:rPr>
          <w:rFonts w:ascii="Calibri" w:hAnsi="Calibri" w:cs="Calibri"/>
        </w:rPr>
      </w:pPr>
      <w:r w:rsidRPr="00CD644E">
        <w:rPr>
          <w:rFonts w:ascii="Calibri" w:hAnsi="Calibri" w:cs="Calibri"/>
        </w:rPr>
        <w:t>The increasing trend in Net Profit Margin % indicates improved profitability and suggests effective cost and revenue management over time.</w:t>
      </w:r>
    </w:p>
    <w:p w:rsidR="00CD644E" w:rsidRDefault="00FF522B" w:rsidP="00CD644E">
      <w:pPr>
        <w:spacing w:before="100" w:beforeAutospacing="1" w:after="100" w:afterAutospacing="1"/>
        <w:rPr>
          <w:rFonts w:ascii="Calibri" w:hAnsi="Calibri" w:cs="Calibri"/>
          <w:b/>
          <w:u w:val="single"/>
        </w:rPr>
      </w:pPr>
      <w:r w:rsidRPr="00FF522B">
        <w:rPr>
          <w:rFonts w:ascii="Calibri" w:hAnsi="Calibri" w:cs="Calibri"/>
          <w:b/>
          <w:highlight w:val="green"/>
          <w:u w:val="single"/>
        </w:rPr>
        <w:lastRenderedPageBreak/>
        <w:t>Total Net Worth-</w:t>
      </w:r>
    </w:p>
    <w:tbl>
      <w:tblPr>
        <w:tblW w:w="6120" w:type="dxa"/>
        <w:tblInd w:w="1615" w:type="dxa"/>
        <w:tblLook w:val="04A0" w:firstRow="1" w:lastRow="0" w:firstColumn="1" w:lastColumn="0" w:noHBand="0" w:noVBand="1"/>
      </w:tblPr>
      <w:tblGrid>
        <w:gridCol w:w="960"/>
        <w:gridCol w:w="2100"/>
        <w:gridCol w:w="960"/>
        <w:gridCol w:w="2100"/>
      </w:tblGrid>
      <w:tr w:rsidR="0025765B" w:rsidRPr="0025765B" w:rsidTr="0025765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jc w:val="center"/>
              <w:rPr>
                <w:rFonts w:ascii="Calibri" w:hAnsi="Calibri" w:cs="Calibri"/>
                <w:b/>
                <w:bCs/>
                <w:color w:val="000000"/>
                <w:sz w:val="22"/>
                <w:szCs w:val="22"/>
                <w:lang w:val="en-US"/>
              </w:rPr>
            </w:pPr>
            <w:r w:rsidRPr="0025765B">
              <w:rPr>
                <w:rFonts w:ascii="Calibri" w:hAnsi="Calibri" w:cs="Calibri"/>
                <w:b/>
                <w:bCs/>
                <w:color w:val="000000"/>
                <w:sz w:val="22"/>
                <w:szCs w:val="22"/>
                <w:lang w:val="en-US"/>
              </w:rPr>
              <w:t>Years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25765B" w:rsidRDefault="0025765B" w:rsidP="0025765B">
            <w:pPr>
              <w:jc w:val="center"/>
              <w:rPr>
                <w:rFonts w:ascii="Calibri" w:hAnsi="Calibri" w:cs="Calibri"/>
                <w:b/>
                <w:bCs/>
                <w:color w:val="000000"/>
                <w:sz w:val="22"/>
                <w:szCs w:val="22"/>
                <w:lang w:val="en-US"/>
              </w:rPr>
            </w:pPr>
            <w:r>
              <w:rPr>
                <w:rFonts w:ascii="Calibri" w:hAnsi="Calibri" w:cs="Calibri"/>
                <w:b/>
                <w:bCs/>
                <w:color w:val="000000"/>
                <w:sz w:val="22"/>
                <w:szCs w:val="22"/>
                <w:lang w:val="en-US"/>
              </w:rPr>
              <w:t>Net Worth</w:t>
            </w:r>
          </w:p>
          <w:p w:rsidR="0025765B" w:rsidRPr="0025765B" w:rsidRDefault="0025765B" w:rsidP="0025765B">
            <w:pPr>
              <w:jc w:val="center"/>
              <w:rPr>
                <w:rFonts w:ascii="Calibri" w:hAnsi="Calibri" w:cs="Calibri"/>
                <w:b/>
                <w:bCs/>
                <w:color w:val="000000"/>
                <w:sz w:val="22"/>
                <w:szCs w:val="22"/>
                <w:lang w:val="en-US"/>
              </w:rPr>
            </w:pPr>
            <w:r w:rsidRPr="0025765B">
              <w:rPr>
                <w:rFonts w:ascii="Calibri" w:hAnsi="Calibri" w:cs="Calibri"/>
                <w:b/>
                <w:bCs/>
                <w:color w:val="000000"/>
                <w:sz w:val="22"/>
                <w:szCs w:val="22"/>
                <w:lang w:val="en-US"/>
              </w:rPr>
              <w:t>(In Lakhs)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5765B" w:rsidRPr="0025765B" w:rsidRDefault="0025765B" w:rsidP="0025765B">
            <w:pPr>
              <w:jc w:val="center"/>
              <w:rPr>
                <w:rFonts w:ascii="Calibri" w:hAnsi="Calibri" w:cs="Calibri"/>
                <w:b/>
                <w:bCs/>
                <w:color w:val="000000"/>
                <w:sz w:val="22"/>
                <w:szCs w:val="22"/>
                <w:lang w:val="en-US"/>
              </w:rPr>
            </w:pPr>
            <w:r w:rsidRPr="0025765B">
              <w:rPr>
                <w:rFonts w:ascii="Calibri" w:hAnsi="Calibri" w:cs="Calibri"/>
                <w:b/>
                <w:bCs/>
                <w:color w:val="000000"/>
                <w:sz w:val="22"/>
                <w:szCs w:val="22"/>
                <w:lang w:val="en-US"/>
              </w:rPr>
              <w:t>Years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25765B" w:rsidRDefault="0025765B" w:rsidP="0025765B">
            <w:pPr>
              <w:jc w:val="center"/>
              <w:rPr>
                <w:rFonts w:ascii="Calibri" w:hAnsi="Calibri" w:cs="Calibri"/>
                <w:b/>
                <w:bCs/>
                <w:color w:val="000000"/>
                <w:sz w:val="22"/>
                <w:szCs w:val="22"/>
                <w:lang w:val="en-US"/>
              </w:rPr>
            </w:pPr>
            <w:r w:rsidRPr="0025765B">
              <w:rPr>
                <w:rFonts w:ascii="Calibri" w:hAnsi="Calibri" w:cs="Calibri"/>
                <w:b/>
                <w:bCs/>
                <w:color w:val="000000"/>
                <w:sz w:val="22"/>
                <w:szCs w:val="22"/>
                <w:lang w:val="en-US"/>
              </w:rPr>
              <w:t xml:space="preserve">Net </w:t>
            </w:r>
            <w:r>
              <w:rPr>
                <w:rFonts w:ascii="Calibri" w:hAnsi="Calibri" w:cs="Calibri"/>
                <w:b/>
                <w:bCs/>
                <w:color w:val="000000"/>
                <w:sz w:val="22"/>
                <w:szCs w:val="22"/>
                <w:lang w:val="en-US"/>
              </w:rPr>
              <w:t>Worth</w:t>
            </w:r>
          </w:p>
          <w:p w:rsidR="0025765B" w:rsidRPr="0025765B" w:rsidRDefault="0025765B" w:rsidP="0025765B">
            <w:pPr>
              <w:jc w:val="center"/>
              <w:rPr>
                <w:rFonts w:ascii="Calibri" w:hAnsi="Calibri" w:cs="Calibri"/>
                <w:b/>
                <w:bCs/>
                <w:color w:val="000000"/>
                <w:sz w:val="22"/>
                <w:szCs w:val="22"/>
                <w:lang w:val="en-US"/>
              </w:rPr>
            </w:pPr>
            <w:r w:rsidRPr="0025765B">
              <w:rPr>
                <w:rFonts w:ascii="Calibri" w:hAnsi="Calibri" w:cs="Calibri"/>
                <w:b/>
                <w:bCs/>
                <w:color w:val="000000"/>
                <w:sz w:val="22"/>
                <w:szCs w:val="22"/>
                <w:lang w:val="en-US"/>
              </w:rPr>
              <w:t>(In Lakhs)</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2027-28</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726.33</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2034-35</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1656.07</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2028-29</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659.62</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2035-36</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1954.34</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2029-30</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695.35</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2036-37</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bookmarkStart w:id="0" w:name="_GoBack"/>
            <w:bookmarkEnd w:id="0"/>
            <w:r w:rsidRPr="0025765B">
              <w:rPr>
                <w:rFonts w:ascii="Calibri" w:hAnsi="Calibri" w:cs="Calibri"/>
                <w:color w:val="000000"/>
                <w:sz w:val="22"/>
                <w:szCs w:val="22"/>
                <w:lang w:val="en-US"/>
              </w:rPr>
              <w:t>2286.79</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2030-31</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803.71</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2037-38</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2654.96</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2031-32</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971.29</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2038-39</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3061.44</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2032-33</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1153.44</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2039-40</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3501.90</w:t>
            </w:r>
          </w:p>
        </w:tc>
      </w:tr>
      <w:tr w:rsidR="0025765B" w:rsidRPr="0025765B" w:rsidTr="0025765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2033-34</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jc w:val="right"/>
              <w:rPr>
                <w:rFonts w:ascii="Calibri" w:hAnsi="Calibri" w:cs="Calibri"/>
                <w:color w:val="000000"/>
                <w:sz w:val="22"/>
                <w:szCs w:val="22"/>
                <w:lang w:val="en-US"/>
              </w:rPr>
            </w:pPr>
            <w:r w:rsidRPr="0025765B">
              <w:rPr>
                <w:rFonts w:ascii="Calibri" w:hAnsi="Calibri" w:cs="Calibri"/>
                <w:color w:val="000000"/>
                <w:sz w:val="22"/>
                <w:szCs w:val="22"/>
                <w:lang w:val="en-US"/>
              </w:rPr>
              <w:t>1389.47</w:t>
            </w:r>
          </w:p>
        </w:tc>
        <w:tc>
          <w:tcPr>
            <w:tcW w:w="96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 </w:t>
            </w:r>
          </w:p>
        </w:tc>
        <w:tc>
          <w:tcPr>
            <w:tcW w:w="2100" w:type="dxa"/>
            <w:tcBorders>
              <w:top w:val="nil"/>
              <w:left w:val="nil"/>
              <w:bottom w:val="single" w:sz="4" w:space="0" w:color="auto"/>
              <w:right w:val="single" w:sz="4" w:space="0" w:color="auto"/>
            </w:tcBorders>
            <w:shd w:val="clear" w:color="auto" w:fill="auto"/>
            <w:noWrap/>
            <w:vAlign w:val="bottom"/>
            <w:hideMark/>
          </w:tcPr>
          <w:p w:rsidR="0025765B" w:rsidRPr="0025765B" w:rsidRDefault="0025765B" w:rsidP="0025765B">
            <w:pPr>
              <w:rPr>
                <w:rFonts w:ascii="Calibri" w:hAnsi="Calibri" w:cs="Calibri"/>
                <w:color w:val="000000"/>
                <w:sz w:val="22"/>
                <w:szCs w:val="22"/>
                <w:lang w:val="en-US"/>
              </w:rPr>
            </w:pPr>
            <w:r w:rsidRPr="0025765B">
              <w:rPr>
                <w:rFonts w:ascii="Calibri" w:hAnsi="Calibri" w:cs="Calibri"/>
                <w:color w:val="000000"/>
                <w:sz w:val="22"/>
                <w:szCs w:val="22"/>
                <w:lang w:val="en-US"/>
              </w:rPr>
              <w:t> </w:t>
            </w:r>
          </w:p>
        </w:tc>
      </w:tr>
    </w:tbl>
    <w:p w:rsidR="00C82607" w:rsidRDefault="00C82607" w:rsidP="00C4141C">
      <w:pPr>
        <w:jc w:val="both"/>
        <w:rPr>
          <w:rFonts w:ascii="Calibri" w:hAnsi="Calibri" w:cs="Calibri"/>
          <w:b/>
          <w:bCs/>
          <w:sz w:val="22"/>
          <w:szCs w:val="22"/>
        </w:rPr>
      </w:pPr>
    </w:p>
    <w:p w:rsidR="008D21B4" w:rsidRPr="008D21B4" w:rsidRDefault="008D21B4" w:rsidP="008D21B4">
      <w:pPr>
        <w:numPr>
          <w:ilvl w:val="0"/>
          <w:numId w:val="36"/>
        </w:numPr>
        <w:jc w:val="both"/>
        <w:rPr>
          <w:rFonts w:ascii="Calibri" w:hAnsi="Calibri" w:cs="Calibri"/>
        </w:rPr>
      </w:pPr>
      <w:r w:rsidRPr="008D21B4">
        <w:rPr>
          <w:rFonts w:ascii="Calibri" w:hAnsi="Calibri" w:cs="Calibri"/>
        </w:rPr>
        <w:t xml:space="preserve">Initial Capital Infusions were crucial for setting up operations and funding early growth, creating </w:t>
      </w:r>
      <w:r w:rsidR="002D4444">
        <w:rPr>
          <w:rFonts w:ascii="Calibri" w:hAnsi="Calibri" w:cs="Calibri"/>
        </w:rPr>
        <w:t>a financial base for the entity</w:t>
      </w:r>
      <w:r w:rsidRPr="008D21B4">
        <w:rPr>
          <w:rFonts w:ascii="Calibri" w:hAnsi="Calibri" w:cs="Calibri"/>
        </w:rPr>
        <w:t>.</w:t>
      </w:r>
    </w:p>
    <w:p w:rsidR="008D21B4" w:rsidRPr="008D21B4" w:rsidRDefault="008D21B4" w:rsidP="008D21B4">
      <w:pPr>
        <w:numPr>
          <w:ilvl w:val="0"/>
          <w:numId w:val="36"/>
        </w:numPr>
        <w:jc w:val="both"/>
        <w:rPr>
          <w:rFonts w:ascii="Calibri" w:hAnsi="Calibri" w:cs="Calibri"/>
        </w:rPr>
      </w:pPr>
      <w:r w:rsidRPr="008D21B4">
        <w:rPr>
          <w:rFonts w:ascii="Calibri" w:hAnsi="Calibri" w:cs="Calibri"/>
        </w:rPr>
        <w:t xml:space="preserve">Losses in </w:t>
      </w:r>
      <w:r w:rsidR="00F17FA6">
        <w:rPr>
          <w:rFonts w:ascii="Calibri" w:hAnsi="Calibri" w:cs="Calibri"/>
        </w:rPr>
        <w:t>the years 20</w:t>
      </w:r>
      <w:r w:rsidRPr="008D21B4">
        <w:rPr>
          <w:rFonts w:ascii="Calibri" w:hAnsi="Calibri" w:cs="Calibri"/>
        </w:rPr>
        <w:t xml:space="preserve">27-28 and </w:t>
      </w:r>
      <w:r w:rsidR="00F17FA6">
        <w:rPr>
          <w:rFonts w:ascii="Calibri" w:hAnsi="Calibri" w:cs="Calibri"/>
        </w:rPr>
        <w:t>20</w:t>
      </w:r>
      <w:r w:rsidRPr="008D21B4">
        <w:rPr>
          <w:rFonts w:ascii="Calibri" w:hAnsi="Calibri" w:cs="Calibri"/>
        </w:rPr>
        <w:t>28-29 temporarily reduced net worth, highlighting the challenges of scaling operations, but these were quickly overcome by strategic management and operational improvements.</w:t>
      </w:r>
    </w:p>
    <w:p w:rsidR="008D21B4" w:rsidRPr="008D21B4" w:rsidRDefault="008D21B4" w:rsidP="008D21B4">
      <w:pPr>
        <w:numPr>
          <w:ilvl w:val="0"/>
          <w:numId w:val="36"/>
        </w:numPr>
        <w:jc w:val="both"/>
        <w:rPr>
          <w:rFonts w:ascii="Calibri" w:hAnsi="Calibri" w:cs="Calibri"/>
        </w:rPr>
      </w:pPr>
      <w:r w:rsidRPr="008D21B4">
        <w:rPr>
          <w:rFonts w:ascii="Calibri" w:hAnsi="Calibri" w:cs="Calibri"/>
        </w:rPr>
        <w:t>Sustained Profitability after </w:t>
      </w:r>
      <w:r w:rsidR="00F17FA6">
        <w:rPr>
          <w:rFonts w:ascii="Calibri" w:hAnsi="Calibri" w:cs="Calibri"/>
        </w:rPr>
        <w:t>20</w:t>
      </w:r>
      <w:r w:rsidRPr="008D21B4">
        <w:rPr>
          <w:rFonts w:ascii="Calibri" w:hAnsi="Calibri" w:cs="Calibri"/>
        </w:rPr>
        <w:t>29-30 enabled consistent growth in net worth, with reinvested profits driving equity growth and eliminating the need for further capital.</w:t>
      </w:r>
    </w:p>
    <w:p w:rsidR="008D21B4" w:rsidRPr="008D21B4" w:rsidRDefault="008D21B4" w:rsidP="008D21B4">
      <w:pPr>
        <w:numPr>
          <w:ilvl w:val="0"/>
          <w:numId w:val="36"/>
        </w:numPr>
        <w:jc w:val="both"/>
        <w:rPr>
          <w:rFonts w:ascii="Calibri" w:hAnsi="Calibri" w:cs="Calibri"/>
        </w:rPr>
      </w:pPr>
      <w:r w:rsidRPr="008D21B4">
        <w:rPr>
          <w:rFonts w:ascii="Calibri" w:hAnsi="Calibri" w:cs="Calibri"/>
        </w:rPr>
        <w:t>By </w:t>
      </w:r>
      <w:r w:rsidR="00F17FA6">
        <w:rPr>
          <w:rFonts w:ascii="Calibri" w:hAnsi="Calibri" w:cs="Calibri"/>
        </w:rPr>
        <w:t>20</w:t>
      </w:r>
      <w:r w:rsidRPr="008D21B4">
        <w:rPr>
          <w:rFonts w:ascii="Calibri" w:hAnsi="Calibri" w:cs="Calibri"/>
        </w:rPr>
        <w:t>39-40, the company’s substantial net worth of </w:t>
      </w:r>
      <w:r w:rsidR="00F17FA6">
        <w:rPr>
          <w:rFonts w:ascii="Calibri" w:hAnsi="Calibri" w:cs="Calibri"/>
        </w:rPr>
        <w:t>Rs.</w:t>
      </w:r>
      <w:r w:rsidR="00684D3F">
        <w:rPr>
          <w:rFonts w:ascii="Calibri" w:hAnsi="Calibri" w:cs="Calibri"/>
        </w:rPr>
        <w:t>3061.44</w:t>
      </w:r>
      <w:r w:rsidR="00F17FA6">
        <w:rPr>
          <w:rFonts w:ascii="Calibri" w:hAnsi="Calibri" w:cs="Calibri"/>
        </w:rPr>
        <w:t xml:space="preserve"> </w:t>
      </w:r>
      <w:r w:rsidR="00911655">
        <w:rPr>
          <w:rFonts w:ascii="Calibri" w:hAnsi="Calibri" w:cs="Calibri"/>
        </w:rPr>
        <w:t>l</w:t>
      </w:r>
      <w:r w:rsidR="00F17FA6">
        <w:rPr>
          <w:rFonts w:ascii="Calibri" w:hAnsi="Calibri" w:cs="Calibri"/>
        </w:rPr>
        <w:t>a</w:t>
      </w:r>
      <w:r w:rsidR="00911655">
        <w:rPr>
          <w:rFonts w:ascii="Calibri" w:hAnsi="Calibri" w:cs="Calibri"/>
        </w:rPr>
        <w:t>k</w:t>
      </w:r>
      <w:r w:rsidR="00F17FA6">
        <w:rPr>
          <w:rFonts w:ascii="Calibri" w:hAnsi="Calibri" w:cs="Calibri"/>
        </w:rPr>
        <w:t>hs</w:t>
      </w:r>
      <w:r w:rsidRPr="008D21B4">
        <w:rPr>
          <w:rFonts w:ascii="Calibri" w:hAnsi="Calibri" w:cs="Calibri"/>
        </w:rPr>
        <w:t> reflects a strong financial foundation, marking it as a resilient, self-sustaining, and profitable entity poised for long-term stability and growth.</w:t>
      </w:r>
    </w:p>
    <w:p w:rsidR="00C66306" w:rsidRDefault="00C66306" w:rsidP="00C4141C">
      <w:pPr>
        <w:jc w:val="both"/>
        <w:rPr>
          <w:rFonts w:ascii="Calibri" w:hAnsi="Calibri" w:cs="Calibri"/>
          <w:b/>
          <w:bCs/>
          <w:sz w:val="22"/>
          <w:szCs w:val="22"/>
        </w:rPr>
      </w:pPr>
    </w:p>
    <w:p w:rsidR="000B241D" w:rsidRDefault="000B241D" w:rsidP="00C4141C">
      <w:pPr>
        <w:jc w:val="both"/>
        <w:rPr>
          <w:rFonts w:ascii="Calibri" w:hAnsi="Calibri" w:cs="Calibri"/>
          <w:b/>
          <w:bCs/>
          <w:sz w:val="22"/>
          <w:szCs w:val="22"/>
        </w:rPr>
      </w:pPr>
    </w:p>
    <w:p w:rsidR="000B241D" w:rsidRPr="005D5C3C" w:rsidRDefault="000B241D" w:rsidP="00C4141C">
      <w:pPr>
        <w:jc w:val="both"/>
        <w:rPr>
          <w:rFonts w:ascii="Calibri" w:hAnsi="Calibri" w:cs="Calibri"/>
          <w:b/>
          <w:bCs/>
          <w:sz w:val="22"/>
          <w:szCs w:val="22"/>
          <w:u w:val="single"/>
        </w:rPr>
      </w:pPr>
      <w:r w:rsidRPr="005D5C3C">
        <w:rPr>
          <w:rFonts w:ascii="Calibri" w:hAnsi="Calibri" w:cs="Calibri"/>
          <w:b/>
          <w:bCs/>
          <w:sz w:val="22"/>
          <w:szCs w:val="22"/>
          <w:highlight w:val="green"/>
          <w:u w:val="single"/>
        </w:rPr>
        <w:t>Assets Coverage Ratio</w:t>
      </w:r>
    </w:p>
    <w:p w:rsidR="000B241D" w:rsidRPr="000B241D" w:rsidRDefault="000B241D" w:rsidP="000B241D">
      <w:pPr>
        <w:pStyle w:val="ListParagraph"/>
        <w:numPr>
          <w:ilvl w:val="0"/>
          <w:numId w:val="26"/>
        </w:numPr>
        <w:jc w:val="both"/>
        <w:rPr>
          <w:rFonts w:ascii="Calibri" w:hAnsi="Calibri" w:cs="Calibri"/>
        </w:rPr>
      </w:pPr>
      <w:r w:rsidRPr="000B241D">
        <w:rPr>
          <w:rFonts w:ascii="Calibri" w:hAnsi="Calibri" w:cs="Calibri"/>
        </w:rPr>
        <w:t>A ratio above 1.0 generally indicates good financial health, as it shows that assets exceed liabilities, and the company can potentially cover its debt obligations.</w:t>
      </w:r>
    </w:p>
    <w:p w:rsidR="000B241D" w:rsidRDefault="000B241D" w:rsidP="000B241D">
      <w:pPr>
        <w:pStyle w:val="ListParagraph"/>
        <w:numPr>
          <w:ilvl w:val="0"/>
          <w:numId w:val="26"/>
        </w:numPr>
        <w:jc w:val="both"/>
        <w:rPr>
          <w:rFonts w:ascii="Calibri" w:hAnsi="Calibri" w:cs="Calibri"/>
        </w:rPr>
      </w:pPr>
      <w:r w:rsidRPr="000B241D">
        <w:rPr>
          <w:rFonts w:ascii="Calibri" w:hAnsi="Calibri" w:cs="Calibri"/>
        </w:rPr>
        <w:t>However, higher ratios are generally more favorable, as they indicate a s</w:t>
      </w:r>
      <w:r>
        <w:rPr>
          <w:rFonts w:ascii="Calibri" w:hAnsi="Calibri" w:cs="Calibri"/>
        </w:rPr>
        <w:t>tronger ability to cover debts.</w:t>
      </w:r>
    </w:p>
    <w:p w:rsidR="000B241D" w:rsidRDefault="000B241D" w:rsidP="000B241D">
      <w:pPr>
        <w:pStyle w:val="ListParagraph"/>
        <w:numPr>
          <w:ilvl w:val="0"/>
          <w:numId w:val="26"/>
        </w:numPr>
        <w:jc w:val="both"/>
        <w:rPr>
          <w:rFonts w:ascii="Calibri" w:hAnsi="Calibri" w:cs="Calibri"/>
        </w:rPr>
      </w:pPr>
      <w:r w:rsidRPr="000B241D">
        <w:rPr>
          <w:rFonts w:ascii="Calibri" w:hAnsi="Calibri" w:cs="Calibri"/>
        </w:rPr>
        <w:t>The increasing asset coverage ratio reflects a strong financial position, as the company’s assets inc</w:t>
      </w:r>
      <w:r>
        <w:rPr>
          <w:rFonts w:ascii="Calibri" w:hAnsi="Calibri" w:cs="Calibri"/>
        </w:rPr>
        <w:t>reasingly surpass its debt. By 20</w:t>
      </w:r>
      <w:r w:rsidRPr="000B241D">
        <w:rPr>
          <w:rFonts w:ascii="Calibri" w:hAnsi="Calibri" w:cs="Calibri"/>
        </w:rPr>
        <w:t>39-40,</w:t>
      </w:r>
      <w:r>
        <w:rPr>
          <w:rFonts w:ascii="Calibri" w:hAnsi="Calibri" w:cs="Calibri"/>
        </w:rPr>
        <w:t xml:space="preserve"> </w:t>
      </w:r>
      <w:r w:rsidRPr="000B241D">
        <w:rPr>
          <w:rFonts w:ascii="Calibri" w:hAnsi="Calibri" w:cs="Calibri"/>
        </w:rPr>
        <w:t>with no debt left, the coverage ratio effectively becomes irrelevant</w:t>
      </w:r>
      <w:r w:rsidR="00B15102">
        <w:rPr>
          <w:rFonts w:ascii="Calibri" w:hAnsi="Calibri" w:cs="Calibri"/>
        </w:rPr>
        <w:t>.</w:t>
      </w:r>
    </w:p>
    <w:p w:rsidR="00E824FC" w:rsidRDefault="00E824FC" w:rsidP="000B241D">
      <w:pPr>
        <w:pStyle w:val="ListParagraph"/>
        <w:numPr>
          <w:ilvl w:val="0"/>
          <w:numId w:val="26"/>
        </w:numPr>
        <w:jc w:val="both"/>
        <w:rPr>
          <w:rFonts w:ascii="Calibri" w:hAnsi="Calibri" w:cs="Calibri"/>
        </w:rPr>
      </w:pPr>
      <w:r w:rsidRPr="00E824FC">
        <w:rPr>
          <w:rFonts w:ascii="Calibri" w:hAnsi="Calibri" w:cs="Calibri"/>
        </w:rPr>
        <w:t>The company shows a healthy progression with growing assets, reducing current liabilities, and eliminating debt over the period.</w:t>
      </w:r>
    </w:p>
    <w:p w:rsidR="00E824FC" w:rsidRDefault="00E824FC" w:rsidP="00E824FC">
      <w:pPr>
        <w:jc w:val="both"/>
        <w:rPr>
          <w:rFonts w:ascii="Calibri" w:hAnsi="Calibri" w:cs="Calibri"/>
        </w:rPr>
      </w:pPr>
    </w:p>
    <w:p w:rsidR="00E824FC" w:rsidRDefault="00E824FC" w:rsidP="00E824FC">
      <w:pPr>
        <w:jc w:val="both"/>
        <w:rPr>
          <w:rFonts w:ascii="Calibri" w:hAnsi="Calibri" w:cs="Calibri"/>
          <w:b/>
          <w:u w:val="single"/>
        </w:rPr>
      </w:pPr>
      <w:r w:rsidRPr="005D5C3C">
        <w:rPr>
          <w:rFonts w:ascii="Calibri" w:hAnsi="Calibri" w:cs="Calibri"/>
          <w:b/>
          <w:highlight w:val="green"/>
          <w:u w:val="single"/>
        </w:rPr>
        <w:t>Current Ratio</w:t>
      </w:r>
    </w:p>
    <w:p w:rsidR="00182659" w:rsidRPr="00182659" w:rsidRDefault="00182659" w:rsidP="00E824FC">
      <w:pPr>
        <w:jc w:val="both"/>
        <w:rPr>
          <w:rFonts w:ascii="Calibri" w:hAnsi="Calibri" w:cs="Calibri"/>
        </w:rPr>
      </w:pPr>
      <w:r>
        <w:rPr>
          <w:rFonts w:ascii="Calibri" w:hAnsi="Calibri" w:cs="Calibri"/>
        </w:rPr>
        <w:t>C</w:t>
      </w:r>
      <w:r w:rsidRPr="00182659">
        <w:rPr>
          <w:rFonts w:ascii="Calibri" w:hAnsi="Calibri" w:cs="Calibri"/>
        </w:rPr>
        <w:t>urrent ratio increases steadily from </w:t>
      </w:r>
      <w:r w:rsidRPr="00182659">
        <w:rPr>
          <w:rFonts w:ascii="Calibri" w:hAnsi="Calibri" w:cs="Calibri"/>
          <w:b/>
          <w:bCs/>
        </w:rPr>
        <w:t>2.64</w:t>
      </w:r>
      <w:r>
        <w:rPr>
          <w:rFonts w:ascii="Calibri" w:hAnsi="Calibri" w:cs="Calibri"/>
          <w:b/>
          <w:bCs/>
        </w:rPr>
        <w:t xml:space="preserve"> times</w:t>
      </w:r>
      <w:r w:rsidRPr="00182659">
        <w:rPr>
          <w:rFonts w:ascii="Calibri" w:hAnsi="Calibri" w:cs="Calibri"/>
        </w:rPr>
        <w:t> in year </w:t>
      </w:r>
      <w:r w:rsidRPr="00182659">
        <w:rPr>
          <w:rFonts w:ascii="Calibri" w:hAnsi="Calibri" w:cs="Calibri"/>
          <w:b/>
          <w:bCs/>
        </w:rPr>
        <w:t>27-28</w:t>
      </w:r>
      <w:r w:rsidRPr="00182659">
        <w:rPr>
          <w:rFonts w:ascii="Calibri" w:hAnsi="Calibri" w:cs="Calibri"/>
        </w:rPr>
        <w:t> to </w:t>
      </w:r>
      <w:r w:rsidRPr="00182659">
        <w:rPr>
          <w:rFonts w:ascii="Calibri" w:hAnsi="Calibri" w:cs="Calibri"/>
          <w:b/>
          <w:bCs/>
        </w:rPr>
        <w:t>6.15</w:t>
      </w:r>
      <w:r>
        <w:rPr>
          <w:rFonts w:ascii="Calibri" w:hAnsi="Calibri" w:cs="Calibri"/>
          <w:b/>
          <w:bCs/>
        </w:rPr>
        <w:t xml:space="preserve"> times</w:t>
      </w:r>
      <w:r w:rsidRPr="00182659">
        <w:rPr>
          <w:rFonts w:ascii="Calibri" w:hAnsi="Calibri" w:cs="Calibri"/>
        </w:rPr>
        <w:t> in year </w:t>
      </w:r>
      <w:r w:rsidRPr="00182659">
        <w:rPr>
          <w:rFonts w:ascii="Calibri" w:hAnsi="Calibri" w:cs="Calibri"/>
          <w:b/>
          <w:bCs/>
        </w:rPr>
        <w:t>39-40</w:t>
      </w:r>
      <w:r w:rsidRPr="00182659">
        <w:rPr>
          <w:rFonts w:ascii="Calibri" w:hAnsi="Calibri" w:cs="Calibri"/>
        </w:rPr>
        <w:t>, indicating a strong and improving liquidity position. </w:t>
      </w:r>
    </w:p>
    <w:p w:rsidR="00406E8C" w:rsidRDefault="00182659" w:rsidP="00406E8C">
      <w:pPr>
        <w:ind w:left="142"/>
        <w:rPr>
          <w:rFonts w:ascii="Calibri" w:hAnsi="Calibri" w:cs="Calibri"/>
        </w:rPr>
      </w:pPr>
      <w:r w:rsidRPr="00406E8C">
        <w:rPr>
          <w:rFonts w:ascii="Calibri" w:hAnsi="Calibri" w:cs="Calibri"/>
          <w:b/>
        </w:rPr>
        <w:t xml:space="preserve">Initial </w:t>
      </w:r>
      <w:r w:rsidR="00F62EE4" w:rsidRPr="00406E8C">
        <w:rPr>
          <w:rFonts w:ascii="Calibri" w:hAnsi="Calibri" w:cs="Calibri"/>
          <w:b/>
        </w:rPr>
        <w:t xml:space="preserve">Years 27-28 to </w:t>
      </w:r>
      <w:r w:rsidRPr="00406E8C">
        <w:rPr>
          <w:rFonts w:ascii="Calibri" w:hAnsi="Calibri" w:cs="Calibri"/>
          <w:b/>
        </w:rPr>
        <w:t>29</w:t>
      </w:r>
      <w:r w:rsidR="00F62EE4" w:rsidRPr="00406E8C">
        <w:rPr>
          <w:rFonts w:ascii="Calibri" w:hAnsi="Calibri" w:cs="Calibri"/>
          <w:b/>
        </w:rPr>
        <w:t>-3</w:t>
      </w:r>
      <w:r w:rsidRPr="00406E8C">
        <w:rPr>
          <w:rFonts w:ascii="Calibri" w:hAnsi="Calibri" w:cs="Calibri"/>
          <w:b/>
        </w:rPr>
        <w:t>0</w:t>
      </w:r>
      <w:r w:rsidR="00F62EE4" w:rsidRPr="00406E8C">
        <w:rPr>
          <w:rFonts w:ascii="Calibri" w:hAnsi="Calibri" w:cs="Calibri"/>
        </w:rPr>
        <w:t xml:space="preserve">: </w:t>
      </w:r>
    </w:p>
    <w:p w:rsidR="00182659" w:rsidRPr="00406E8C" w:rsidRDefault="00F62EE4" w:rsidP="00406E8C">
      <w:pPr>
        <w:pStyle w:val="ListParagraph"/>
        <w:numPr>
          <w:ilvl w:val="0"/>
          <w:numId w:val="33"/>
        </w:numPr>
        <w:rPr>
          <w:rFonts w:ascii="Calibri" w:hAnsi="Calibri" w:cs="Calibri"/>
        </w:rPr>
      </w:pPr>
      <w:r w:rsidRPr="00406E8C">
        <w:rPr>
          <w:rFonts w:ascii="Calibri" w:hAnsi="Calibri" w:cs="Calibri"/>
        </w:rPr>
        <w:t xml:space="preserve">The Current </w:t>
      </w:r>
      <w:r w:rsidR="00182659" w:rsidRPr="00406E8C">
        <w:rPr>
          <w:rFonts w:ascii="Calibri" w:hAnsi="Calibri" w:cs="Calibri"/>
        </w:rPr>
        <w:t xml:space="preserve">ratio starts at 2.64 times in 2027-28 and increases to 4.16 times by 2029-30 </w:t>
      </w:r>
    </w:p>
    <w:p w:rsidR="00182659" w:rsidRDefault="00182659" w:rsidP="004B0492">
      <w:pPr>
        <w:pStyle w:val="ListParagraph"/>
        <w:numPr>
          <w:ilvl w:val="0"/>
          <w:numId w:val="28"/>
        </w:numPr>
        <w:rPr>
          <w:rFonts w:ascii="Calibri" w:hAnsi="Calibri" w:cs="Calibri"/>
        </w:rPr>
      </w:pPr>
      <w:r w:rsidRPr="00182659">
        <w:rPr>
          <w:rFonts w:ascii="Calibri" w:hAnsi="Calibri" w:cs="Calibri"/>
        </w:rPr>
        <w:lastRenderedPageBreak/>
        <w:t xml:space="preserve">The ratio above 2 </w:t>
      </w:r>
      <w:r>
        <w:rPr>
          <w:rFonts w:ascii="Calibri" w:hAnsi="Calibri" w:cs="Calibri"/>
        </w:rPr>
        <w:t>is generally considers safe, as indicates the company has more than enough current assets to cover its liabilities</w:t>
      </w:r>
    </w:p>
    <w:p w:rsidR="002D666A" w:rsidRDefault="002D666A" w:rsidP="004B0492">
      <w:pPr>
        <w:pStyle w:val="ListParagraph"/>
        <w:numPr>
          <w:ilvl w:val="0"/>
          <w:numId w:val="28"/>
        </w:numPr>
        <w:rPr>
          <w:rFonts w:ascii="Calibri" w:hAnsi="Calibri" w:cs="Calibri"/>
        </w:rPr>
      </w:pPr>
      <w:r>
        <w:rPr>
          <w:rFonts w:ascii="Calibri" w:hAnsi="Calibri" w:cs="Calibri"/>
        </w:rPr>
        <w:t>The initial increase suggest that the company is building its liquidity position, possibly accumulating cash or other liquid assets.</w:t>
      </w:r>
    </w:p>
    <w:p w:rsidR="00406E8C" w:rsidRPr="00182659" w:rsidRDefault="00406E8C" w:rsidP="00406E8C">
      <w:pPr>
        <w:pStyle w:val="ListParagraph"/>
        <w:rPr>
          <w:rFonts w:ascii="Calibri" w:hAnsi="Calibri" w:cs="Calibri"/>
        </w:rPr>
      </w:pPr>
    </w:p>
    <w:p w:rsidR="00406E8C" w:rsidRDefault="00406E8C" w:rsidP="00406E8C">
      <w:pPr>
        <w:ind w:left="360"/>
        <w:rPr>
          <w:rFonts w:ascii="Calibri" w:hAnsi="Calibri" w:cs="Calibri"/>
        </w:rPr>
      </w:pPr>
      <w:r>
        <w:rPr>
          <w:rFonts w:ascii="Calibri" w:hAnsi="Calibri" w:cs="Calibri"/>
          <w:b/>
        </w:rPr>
        <w:t>Middle Years 30</w:t>
      </w:r>
      <w:r w:rsidR="00F62EE4" w:rsidRPr="00406E8C">
        <w:rPr>
          <w:rFonts w:ascii="Calibri" w:hAnsi="Calibri" w:cs="Calibri"/>
          <w:b/>
        </w:rPr>
        <w:t>-3</w:t>
      </w:r>
      <w:r>
        <w:rPr>
          <w:rFonts w:ascii="Calibri" w:hAnsi="Calibri" w:cs="Calibri"/>
          <w:b/>
        </w:rPr>
        <w:t>1</w:t>
      </w:r>
      <w:r w:rsidR="00F62EE4" w:rsidRPr="00406E8C">
        <w:rPr>
          <w:rFonts w:ascii="Calibri" w:hAnsi="Calibri" w:cs="Calibri"/>
          <w:b/>
        </w:rPr>
        <w:t xml:space="preserve"> to 3</w:t>
      </w:r>
      <w:r>
        <w:rPr>
          <w:rFonts w:ascii="Calibri" w:hAnsi="Calibri" w:cs="Calibri"/>
          <w:b/>
        </w:rPr>
        <w:t>4</w:t>
      </w:r>
      <w:r w:rsidR="00F62EE4" w:rsidRPr="00406E8C">
        <w:rPr>
          <w:rFonts w:ascii="Calibri" w:hAnsi="Calibri" w:cs="Calibri"/>
          <w:b/>
        </w:rPr>
        <w:t>-3</w:t>
      </w:r>
      <w:r>
        <w:rPr>
          <w:rFonts w:ascii="Calibri" w:hAnsi="Calibri" w:cs="Calibri"/>
          <w:b/>
        </w:rPr>
        <w:t>5</w:t>
      </w:r>
      <w:r w:rsidR="00F62EE4" w:rsidRPr="00406E8C">
        <w:rPr>
          <w:rFonts w:ascii="Calibri" w:hAnsi="Calibri" w:cs="Calibri"/>
        </w:rPr>
        <w:t xml:space="preserve">: </w:t>
      </w:r>
    </w:p>
    <w:p w:rsidR="00406E8C" w:rsidRPr="00406E8C" w:rsidRDefault="00406E8C" w:rsidP="00406E8C">
      <w:pPr>
        <w:numPr>
          <w:ilvl w:val="0"/>
          <w:numId w:val="34"/>
        </w:numPr>
        <w:rPr>
          <w:rFonts w:ascii="Calibri" w:hAnsi="Calibri" w:cs="Calibri"/>
          <w:lang w:val="en-US"/>
        </w:rPr>
      </w:pPr>
      <w:r w:rsidRPr="00406E8C">
        <w:rPr>
          <w:rFonts w:ascii="Calibri" w:hAnsi="Calibri" w:cs="Calibri"/>
          <w:lang w:val="en-US"/>
        </w:rPr>
        <w:t>The current ratio continues to rise from </w:t>
      </w:r>
      <w:r w:rsidRPr="00406E8C">
        <w:rPr>
          <w:rFonts w:ascii="Calibri" w:hAnsi="Calibri" w:cs="Calibri"/>
          <w:b/>
          <w:bCs/>
          <w:lang w:val="en-US"/>
        </w:rPr>
        <w:t>5.02</w:t>
      </w:r>
      <w:r w:rsidRPr="00406E8C">
        <w:rPr>
          <w:rFonts w:ascii="Calibri" w:hAnsi="Calibri" w:cs="Calibri"/>
          <w:lang w:val="en-US"/>
        </w:rPr>
        <w:t> in </w:t>
      </w:r>
      <w:r w:rsidRPr="00406E8C">
        <w:rPr>
          <w:rFonts w:ascii="Calibri" w:hAnsi="Calibri" w:cs="Calibri"/>
          <w:b/>
          <w:bCs/>
          <w:lang w:val="en-US"/>
        </w:rPr>
        <w:t>30-31</w:t>
      </w:r>
      <w:r w:rsidRPr="00406E8C">
        <w:rPr>
          <w:rFonts w:ascii="Calibri" w:hAnsi="Calibri" w:cs="Calibri"/>
          <w:lang w:val="en-US"/>
        </w:rPr>
        <w:t> to </w:t>
      </w:r>
      <w:r w:rsidRPr="00406E8C">
        <w:rPr>
          <w:rFonts w:ascii="Calibri" w:hAnsi="Calibri" w:cs="Calibri"/>
          <w:b/>
          <w:bCs/>
          <w:lang w:val="en-US"/>
        </w:rPr>
        <w:t>6.69</w:t>
      </w:r>
      <w:r w:rsidRPr="00406E8C">
        <w:rPr>
          <w:rFonts w:ascii="Calibri" w:hAnsi="Calibri" w:cs="Calibri"/>
          <w:lang w:val="en-US"/>
        </w:rPr>
        <w:t> in </w:t>
      </w:r>
      <w:r w:rsidRPr="00406E8C">
        <w:rPr>
          <w:rFonts w:ascii="Calibri" w:hAnsi="Calibri" w:cs="Calibri"/>
          <w:b/>
          <w:bCs/>
          <w:lang w:val="en-US"/>
        </w:rPr>
        <w:t>34-35</w:t>
      </w:r>
      <w:r w:rsidRPr="00406E8C">
        <w:rPr>
          <w:rFonts w:ascii="Calibri" w:hAnsi="Calibri" w:cs="Calibri"/>
          <w:lang w:val="en-US"/>
        </w:rPr>
        <w:t>.</w:t>
      </w:r>
    </w:p>
    <w:p w:rsidR="00406E8C" w:rsidRPr="00406E8C" w:rsidRDefault="00406E8C" w:rsidP="00406E8C">
      <w:pPr>
        <w:numPr>
          <w:ilvl w:val="0"/>
          <w:numId w:val="34"/>
        </w:numPr>
        <w:rPr>
          <w:rFonts w:ascii="Calibri" w:hAnsi="Calibri" w:cs="Calibri"/>
          <w:lang w:val="en-US"/>
        </w:rPr>
      </w:pPr>
      <w:r w:rsidRPr="00406E8C">
        <w:rPr>
          <w:rFonts w:ascii="Calibri" w:hAnsi="Calibri" w:cs="Calibri"/>
          <w:lang w:val="en-US"/>
        </w:rPr>
        <w:t>Ratios in this range indicate exceptionally high liquidity, suggesting that the company has a significant cushion to meet its obligations.</w:t>
      </w:r>
    </w:p>
    <w:p w:rsidR="00406E8C" w:rsidRPr="00406E8C" w:rsidRDefault="00406E8C" w:rsidP="00406E8C">
      <w:pPr>
        <w:numPr>
          <w:ilvl w:val="0"/>
          <w:numId w:val="34"/>
        </w:numPr>
        <w:rPr>
          <w:rFonts w:ascii="Calibri" w:hAnsi="Calibri" w:cs="Calibri"/>
          <w:lang w:val="en-US"/>
        </w:rPr>
      </w:pPr>
      <w:r w:rsidRPr="00406E8C">
        <w:rPr>
          <w:rFonts w:ascii="Calibri" w:hAnsi="Calibri" w:cs="Calibri"/>
          <w:lang w:val="en-US"/>
        </w:rPr>
        <w:t>While this shows strong financial stability, such high ratios might also imply that some assets could be more productively invested rather than kept in liquid form.</w:t>
      </w:r>
    </w:p>
    <w:p w:rsidR="00406E8C" w:rsidRPr="00406E8C" w:rsidRDefault="00406E8C" w:rsidP="0076709A">
      <w:pPr>
        <w:rPr>
          <w:rFonts w:ascii="Calibri" w:hAnsi="Calibri" w:cs="Calibri"/>
        </w:rPr>
      </w:pPr>
    </w:p>
    <w:p w:rsidR="0076709A" w:rsidRDefault="0076709A" w:rsidP="00406E8C">
      <w:pPr>
        <w:pStyle w:val="ListParagraph"/>
        <w:ind w:left="426"/>
        <w:jc w:val="both"/>
        <w:rPr>
          <w:rFonts w:ascii="Calibri" w:hAnsi="Calibri" w:cs="Calibri"/>
          <w:b/>
          <w:bCs/>
        </w:rPr>
      </w:pPr>
      <w:r w:rsidRPr="0076709A">
        <w:rPr>
          <w:rFonts w:ascii="Calibri" w:hAnsi="Calibri" w:cs="Calibri"/>
          <w:b/>
          <w:bCs/>
        </w:rPr>
        <w:t>Peak and Stabilization (35-36 to 39-40)</w:t>
      </w:r>
    </w:p>
    <w:p w:rsidR="0076709A" w:rsidRPr="0076709A" w:rsidRDefault="0076709A" w:rsidP="0076709A">
      <w:pPr>
        <w:numPr>
          <w:ilvl w:val="0"/>
          <w:numId w:val="35"/>
        </w:numPr>
        <w:jc w:val="both"/>
        <w:rPr>
          <w:rFonts w:ascii="Calibri" w:hAnsi="Calibri" w:cs="Calibri"/>
          <w:lang w:val="en-US"/>
        </w:rPr>
      </w:pPr>
      <w:r w:rsidRPr="0076709A">
        <w:rPr>
          <w:rFonts w:ascii="Calibri" w:hAnsi="Calibri" w:cs="Calibri"/>
          <w:lang w:val="en-US"/>
        </w:rPr>
        <w:t>The current ratio peaks at </w:t>
      </w:r>
      <w:r w:rsidRPr="0076709A">
        <w:rPr>
          <w:rFonts w:ascii="Calibri" w:hAnsi="Calibri" w:cs="Calibri"/>
          <w:b/>
          <w:bCs/>
          <w:lang w:val="en-US"/>
        </w:rPr>
        <w:t>6.75</w:t>
      </w:r>
      <w:r w:rsidR="008272BD">
        <w:rPr>
          <w:rFonts w:ascii="Calibri" w:hAnsi="Calibri" w:cs="Calibri"/>
          <w:b/>
          <w:bCs/>
          <w:lang w:val="en-US"/>
        </w:rPr>
        <w:t xml:space="preserve"> times</w:t>
      </w:r>
      <w:r w:rsidRPr="0076709A">
        <w:rPr>
          <w:rFonts w:ascii="Calibri" w:hAnsi="Calibri" w:cs="Calibri"/>
          <w:lang w:val="en-US"/>
        </w:rPr>
        <w:t> in </w:t>
      </w:r>
      <w:r w:rsidR="008272BD" w:rsidRPr="008272BD">
        <w:rPr>
          <w:rFonts w:ascii="Calibri" w:hAnsi="Calibri" w:cs="Calibri"/>
          <w:b/>
          <w:lang w:val="en-US"/>
        </w:rPr>
        <w:t>20</w:t>
      </w:r>
      <w:r w:rsidRPr="0076709A">
        <w:rPr>
          <w:rFonts w:ascii="Calibri" w:hAnsi="Calibri" w:cs="Calibri"/>
          <w:b/>
          <w:bCs/>
          <w:lang w:val="en-US"/>
        </w:rPr>
        <w:t>35-36</w:t>
      </w:r>
      <w:r w:rsidRPr="0076709A">
        <w:rPr>
          <w:rFonts w:ascii="Calibri" w:hAnsi="Calibri" w:cs="Calibri"/>
          <w:lang w:val="en-US"/>
        </w:rPr>
        <w:t> and then stabilizes, slightly decreasing to </w:t>
      </w:r>
      <w:r w:rsidRPr="0076709A">
        <w:rPr>
          <w:rFonts w:ascii="Calibri" w:hAnsi="Calibri" w:cs="Calibri"/>
          <w:b/>
          <w:bCs/>
          <w:lang w:val="en-US"/>
        </w:rPr>
        <w:t>6.15</w:t>
      </w:r>
      <w:r w:rsidRPr="0076709A">
        <w:rPr>
          <w:rFonts w:ascii="Calibri" w:hAnsi="Calibri" w:cs="Calibri"/>
          <w:lang w:val="en-US"/>
        </w:rPr>
        <w:t> </w:t>
      </w:r>
      <w:r w:rsidR="00FB7CBC" w:rsidRPr="00FB7CBC">
        <w:rPr>
          <w:rFonts w:ascii="Calibri" w:hAnsi="Calibri" w:cs="Calibri"/>
          <w:b/>
          <w:lang w:val="en-US"/>
        </w:rPr>
        <w:t>times</w:t>
      </w:r>
      <w:r w:rsidR="00FB7CBC">
        <w:rPr>
          <w:rFonts w:ascii="Calibri" w:hAnsi="Calibri" w:cs="Calibri"/>
          <w:lang w:val="en-US"/>
        </w:rPr>
        <w:t xml:space="preserve"> </w:t>
      </w:r>
      <w:r w:rsidRPr="0076709A">
        <w:rPr>
          <w:rFonts w:ascii="Calibri" w:hAnsi="Calibri" w:cs="Calibri"/>
          <w:lang w:val="en-US"/>
        </w:rPr>
        <w:t>by </w:t>
      </w:r>
      <w:r w:rsidR="008272BD" w:rsidRPr="008272BD">
        <w:rPr>
          <w:rFonts w:ascii="Calibri" w:hAnsi="Calibri" w:cs="Calibri"/>
          <w:b/>
          <w:lang w:val="en-US"/>
        </w:rPr>
        <w:t>20</w:t>
      </w:r>
      <w:r w:rsidRPr="0076709A">
        <w:rPr>
          <w:rFonts w:ascii="Calibri" w:hAnsi="Calibri" w:cs="Calibri"/>
          <w:b/>
          <w:bCs/>
          <w:lang w:val="en-US"/>
        </w:rPr>
        <w:t>39-40</w:t>
      </w:r>
      <w:r w:rsidRPr="0076709A">
        <w:rPr>
          <w:rFonts w:ascii="Calibri" w:hAnsi="Calibri" w:cs="Calibri"/>
          <w:lang w:val="en-US"/>
        </w:rPr>
        <w:t>.</w:t>
      </w:r>
    </w:p>
    <w:p w:rsidR="0076709A" w:rsidRPr="0076709A" w:rsidRDefault="0076709A" w:rsidP="0076709A">
      <w:pPr>
        <w:numPr>
          <w:ilvl w:val="0"/>
          <w:numId w:val="35"/>
        </w:numPr>
        <w:jc w:val="both"/>
        <w:rPr>
          <w:rFonts w:ascii="Calibri" w:hAnsi="Calibri" w:cs="Calibri"/>
          <w:lang w:val="en-US"/>
        </w:rPr>
      </w:pPr>
      <w:r w:rsidRPr="0076709A">
        <w:rPr>
          <w:rFonts w:ascii="Calibri" w:hAnsi="Calibri" w:cs="Calibri"/>
          <w:lang w:val="en-US"/>
        </w:rPr>
        <w:t>The stabilization and slight decrease may suggest the company has begun to reinvest some of its liquid assets, possibly pursuing growth opportunities or improving operational efficiency.</w:t>
      </w:r>
    </w:p>
    <w:p w:rsidR="0076709A" w:rsidRDefault="0076709A" w:rsidP="0076709A">
      <w:pPr>
        <w:numPr>
          <w:ilvl w:val="0"/>
          <w:numId w:val="35"/>
        </w:numPr>
        <w:jc w:val="both"/>
        <w:rPr>
          <w:rFonts w:ascii="Calibri" w:hAnsi="Calibri" w:cs="Calibri"/>
          <w:lang w:val="en-US"/>
        </w:rPr>
      </w:pPr>
      <w:r w:rsidRPr="0076709A">
        <w:rPr>
          <w:rFonts w:ascii="Calibri" w:hAnsi="Calibri" w:cs="Calibri"/>
          <w:lang w:val="en-US"/>
        </w:rPr>
        <w:t>Despite this, the ratio remains above </w:t>
      </w:r>
      <w:r w:rsidRPr="0076709A">
        <w:rPr>
          <w:rFonts w:ascii="Calibri" w:hAnsi="Calibri" w:cs="Calibri"/>
          <w:b/>
          <w:bCs/>
          <w:lang w:val="en-US"/>
        </w:rPr>
        <w:t>6</w:t>
      </w:r>
      <w:r w:rsidRPr="0076709A">
        <w:rPr>
          <w:rFonts w:ascii="Calibri" w:hAnsi="Calibri" w:cs="Calibri"/>
          <w:lang w:val="en-US"/>
        </w:rPr>
        <w:t>, indicating ample liquidity and strong financial health</w:t>
      </w:r>
    </w:p>
    <w:p w:rsidR="007E36F0" w:rsidRPr="0076709A" w:rsidRDefault="007E36F0" w:rsidP="007E36F0">
      <w:pPr>
        <w:jc w:val="both"/>
        <w:rPr>
          <w:rFonts w:ascii="Calibri" w:hAnsi="Calibri" w:cs="Calibri"/>
          <w:lang w:val="en-US"/>
        </w:rPr>
      </w:pPr>
      <w:r w:rsidRPr="007E36F0">
        <w:rPr>
          <w:rFonts w:ascii="Calibri" w:hAnsi="Calibri" w:cs="Calibri"/>
          <w:lang w:val="en-US"/>
        </w:rPr>
        <w:t>Overall, the company shows excellent liquidity across the period. However, with such high ratios, there may be an opportunity to strike a balance between maintaining liquidity and utilizing resources more effectively to drive growth.</w:t>
      </w:r>
    </w:p>
    <w:p w:rsidR="00FA67B6" w:rsidRDefault="00FA67B6" w:rsidP="000920A9">
      <w:pPr>
        <w:jc w:val="both"/>
        <w:rPr>
          <w:rFonts w:ascii="Calibri" w:hAnsi="Calibri" w:cs="Calibri"/>
          <w:b/>
          <w:highlight w:val="green"/>
          <w:u w:val="single"/>
        </w:rPr>
      </w:pPr>
    </w:p>
    <w:p w:rsidR="000920A9" w:rsidRDefault="000920A9" w:rsidP="000920A9">
      <w:pPr>
        <w:jc w:val="both"/>
        <w:rPr>
          <w:rFonts w:ascii="Calibri" w:hAnsi="Calibri" w:cs="Calibri"/>
          <w:b/>
          <w:u w:val="single"/>
        </w:rPr>
      </w:pPr>
      <w:r w:rsidRPr="005D5C3C">
        <w:rPr>
          <w:rFonts w:ascii="Calibri" w:hAnsi="Calibri" w:cs="Calibri"/>
          <w:b/>
          <w:highlight w:val="green"/>
          <w:u w:val="single"/>
        </w:rPr>
        <w:t>Cash Ratio</w:t>
      </w:r>
    </w:p>
    <w:p w:rsidR="00FB6A2D" w:rsidRDefault="00FB6A2D" w:rsidP="000920A9">
      <w:pPr>
        <w:jc w:val="both"/>
        <w:rPr>
          <w:rFonts w:ascii="Calibri" w:hAnsi="Calibri" w:cs="Calibri"/>
          <w:b/>
          <w:u w:val="single"/>
        </w:rPr>
      </w:pPr>
    </w:p>
    <w:p w:rsidR="00FB6A2D" w:rsidRDefault="00FB6A2D" w:rsidP="00FB6A2D">
      <w:pPr>
        <w:pStyle w:val="ListParagraph"/>
        <w:numPr>
          <w:ilvl w:val="0"/>
          <w:numId w:val="29"/>
        </w:numPr>
        <w:jc w:val="both"/>
        <w:rPr>
          <w:rFonts w:ascii="Calibri" w:hAnsi="Calibri" w:cs="Calibri"/>
        </w:rPr>
      </w:pPr>
      <w:r w:rsidRPr="00FB6A2D">
        <w:rPr>
          <w:rFonts w:ascii="Calibri" w:hAnsi="Calibri" w:cs="Calibri"/>
        </w:rPr>
        <w:t>The Cash Ratio measures the company’s ability to cover its current liabilities solely with cash and cash equivalents, reflecting the liquidity strength.</w:t>
      </w:r>
    </w:p>
    <w:p w:rsidR="00FB6A2D" w:rsidRDefault="00FB6A2D" w:rsidP="00FB6A2D">
      <w:pPr>
        <w:pStyle w:val="ListParagraph"/>
        <w:jc w:val="both"/>
        <w:rPr>
          <w:rFonts w:ascii="Calibri" w:hAnsi="Calibri" w:cs="Calibri"/>
        </w:rPr>
      </w:pPr>
    </w:p>
    <w:p w:rsidR="00FB6A2D" w:rsidRPr="00FB6A2D" w:rsidRDefault="00FB6A2D" w:rsidP="00FB6A2D">
      <w:pPr>
        <w:pStyle w:val="ListParagraph"/>
        <w:numPr>
          <w:ilvl w:val="0"/>
          <w:numId w:val="29"/>
        </w:numPr>
        <w:jc w:val="both"/>
        <w:rPr>
          <w:rFonts w:ascii="Calibri" w:hAnsi="Calibri" w:cs="Calibri"/>
        </w:rPr>
      </w:pPr>
      <w:r w:rsidRPr="00FB6A2D">
        <w:rPr>
          <w:rFonts w:ascii="Calibri" w:hAnsi="Calibri" w:cs="Calibri"/>
        </w:rPr>
        <w:t>The Cash Ratio trend over the years:</w:t>
      </w:r>
    </w:p>
    <w:p w:rsidR="00FB6A2D" w:rsidRPr="00FB6A2D" w:rsidRDefault="00FB6A2D" w:rsidP="00243D25">
      <w:pPr>
        <w:numPr>
          <w:ilvl w:val="0"/>
          <w:numId w:val="32"/>
        </w:numPr>
        <w:spacing w:before="100" w:beforeAutospacing="1" w:after="100" w:afterAutospacing="1"/>
        <w:ind w:left="993"/>
        <w:jc w:val="both"/>
        <w:rPr>
          <w:rFonts w:ascii="Calibri" w:hAnsi="Calibri" w:cs="Calibri"/>
        </w:rPr>
      </w:pPr>
      <w:r w:rsidRPr="00FB6A2D">
        <w:rPr>
          <w:rFonts w:ascii="Calibri" w:hAnsi="Calibri" w:cs="Calibri"/>
          <w:b/>
        </w:rPr>
        <w:t>Years 27-28 to 30-31:</w:t>
      </w:r>
      <w:r w:rsidRPr="00FB6A2D">
        <w:rPr>
          <w:rFonts w:ascii="Calibri" w:hAnsi="Calibri" w:cs="Calibri"/>
        </w:rPr>
        <w:t xml:space="preserve"> The Cash Ratio increases significantly from 0.65 to 2.93. Initially below 1.0, the ratio quickly surpasses 1.0, indicating that cash reserves are now more than sufficient to cover current liabilities.</w:t>
      </w:r>
    </w:p>
    <w:p w:rsidR="00FB6A2D" w:rsidRPr="00FB6A2D" w:rsidRDefault="00FB6A2D" w:rsidP="00243D25">
      <w:pPr>
        <w:numPr>
          <w:ilvl w:val="0"/>
          <w:numId w:val="32"/>
        </w:numPr>
        <w:spacing w:before="100" w:beforeAutospacing="1" w:after="100" w:afterAutospacing="1"/>
        <w:ind w:left="993"/>
        <w:jc w:val="both"/>
        <w:rPr>
          <w:rFonts w:ascii="Calibri" w:hAnsi="Calibri" w:cs="Calibri"/>
        </w:rPr>
      </w:pPr>
      <w:r w:rsidRPr="00FB6A2D">
        <w:rPr>
          <w:rFonts w:ascii="Calibri" w:hAnsi="Calibri" w:cs="Calibri"/>
          <w:b/>
        </w:rPr>
        <w:t>Years 31-32 to 35-36:</w:t>
      </w:r>
      <w:r w:rsidRPr="00FB6A2D">
        <w:rPr>
          <w:rFonts w:ascii="Calibri" w:hAnsi="Calibri" w:cs="Calibri"/>
        </w:rPr>
        <w:t xml:space="preserve"> The Cash Ratio continues to rise, reaching 4.74 in Year 35-36. This sustained increase highlights the company's strong cash position relative to its short-term obligations.</w:t>
      </w:r>
    </w:p>
    <w:p w:rsidR="00FB6A2D" w:rsidRDefault="00FB6A2D" w:rsidP="00243D25">
      <w:pPr>
        <w:numPr>
          <w:ilvl w:val="0"/>
          <w:numId w:val="32"/>
        </w:numPr>
        <w:spacing w:before="100" w:beforeAutospacing="1" w:after="100" w:afterAutospacing="1"/>
        <w:ind w:left="993"/>
        <w:jc w:val="both"/>
        <w:rPr>
          <w:rFonts w:ascii="Calibri" w:hAnsi="Calibri" w:cs="Calibri"/>
        </w:rPr>
      </w:pPr>
      <w:r w:rsidRPr="00FB6A2D">
        <w:rPr>
          <w:rFonts w:ascii="Calibri" w:hAnsi="Calibri" w:cs="Calibri"/>
          <w:b/>
        </w:rPr>
        <w:t>Years 36-37 to 39-40:</w:t>
      </w:r>
      <w:r w:rsidRPr="00FB6A2D">
        <w:rPr>
          <w:rFonts w:ascii="Calibri" w:hAnsi="Calibri" w:cs="Calibri"/>
        </w:rPr>
        <w:t xml:space="preserve"> The ratio remains high, fluctuating slightly but generally stable around 4.5. A Cash Ratio above 4.0 is very high, showing ample cash reserves to meet liabilities several times over, indicating strong liquidity.</w:t>
      </w:r>
    </w:p>
    <w:p w:rsidR="00F73454" w:rsidRPr="00F73454" w:rsidRDefault="00F73454" w:rsidP="00F73454">
      <w:pPr>
        <w:pStyle w:val="ListParagraph"/>
        <w:numPr>
          <w:ilvl w:val="0"/>
          <w:numId w:val="31"/>
        </w:numPr>
        <w:spacing w:before="100" w:beforeAutospacing="1" w:after="100" w:afterAutospacing="1"/>
        <w:jc w:val="both"/>
        <w:rPr>
          <w:rFonts w:ascii="Calibri" w:hAnsi="Calibri" w:cs="Calibri"/>
        </w:rPr>
      </w:pPr>
      <w:r w:rsidRPr="00F73454">
        <w:rPr>
          <w:rFonts w:ascii="Calibri" w:hAnsi="Calibri" w:cs="Calibri"/>
        </w:rPr>
        <w:t>The company is in an increasingly strong liquidity position, with cash reserves growing steadily and easily covering current liabilities multiple times. The high Cash Ratio reflects low financial risk and strong operational cash generation, providing a comfortable cushion for obligations and potential growth initiatives.</w:t>
      </w:r>
    </w:p>
    <w:p w:rsidR="000920A9" w:rsidRPr="00FB6A2D" w:rsidRDefault="000920A9" w:rsidP="00FB6A2D">
      <w:pPr>
        <w:ind w:left="360"/>
        <w:jc w:val="both"/>
        <w:rPr>
          <w:rFonts w:ascii="Calibri" w:hAnsi="Calibri" w:cs="Calibri"/>
        </w:rPr>
      </w:pPr>
    </w:p>
    <w:p w:rsidR="000920A9" w:rsidRPr="000920A9" w:rsidRDefault="000920A9" w:rsidP="000920A9">
      <w:pPr>
        <w:jc w:val="both"/>
        <w:rPr>
          <w:rFonts w:ascii="Calibri" w:hAnsi="Calibri" w:cs="Calibri"/>
          <w:b/>
          <w:u w:val="single"/>
        </w:rPr>
      </w:pPr>
    </w:p>
    <w:p w:rsidR="000920A9" w:rsidRPr="000920A9" w:rsidRDefault="000920A9" w:rsidP="000920A9">
      <w:pPr>
        <w:jc w:val="both"/>
        <w:rPr>
          <w:rFonts w:ascii="Calibri" w:hAnsi="Calibri" w:cs="Calibri"/>
        </w:rPr>
      </w:pPr>
    </w:p>
    <w:p w:rsidR="00E824FC" w:rsidRDefault="00E824FC" w:rsidP="00E824FC">
      <w:pPr>
        <w:jc w:val="both"/>
        <w:rPr>
          <w:rFonts w:ascii="Calibri" w:hAnsi="Calibri" w:cs="Calibri"/>
          <w:b/>
          <w:u w:val="single"/>
        </w:rPr>
      </w:pPr>
    </w:p>
    <w:p w:rsidR="00E824FC" w:rsidRPr="00E824FC" w:rsidRDefault="00E824FC" w:rsidP="00E824FC">
      <w:pPr>
        <w:jc w:val="both"/>
        <w:rPr>
          <w:rFonts w:ascii="Calibri" w:hAnsi="Calibri" w:cs="Calibri"/>
          <w:b/>
          <w:u w:val="single"/>
        </w:rPr>
      </w:pPr>
    </w:p>
    <w:p w:rsidR="00E824FC" w:rsidRPr="00E824FC" w:rsidRDefault="00E824FC" w:rsidP="00E824FC">
      <w:pPr>
        <w:jc w:val="both"/>
        <w:rPr>
          <w:rFonts w:ascii="Calibri" w:hAnsi="Calibri" w:cs="Calibri"/>
        </w:rPr>
      </w:pPr>
    </w:p>
    <w:p w:rsidR="000B241D" w:rsidRPr="000B241D" w:rsidRDefault="000B241D" w:rsidP="00C4141C">
      <w:pPr>
        <w:jc w:val="both"/>
        <w:rPr>
          <w:rFonts w:ascii="Calibri" w:hAnsi="Calibri" w:cs="Calibri"/>
        </w:rPr>
      </w:pPr>
    </w:p>
    <w:sectPr w:rsidR="000B241D" w:rsidRPr="000B2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847B2"/>
    <w:multiLevelType w:val="multilevel"/>
    <w:tmpl w:val="5402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E42E9"/>
    <w:multiLevelType w:val="hybridMultilevel"/>
    <w:tmpl w:val="A252C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81EA9"/>
    <w:multiLevelType w:val="multilevel"/>
    <w:tmpl w:val="D82C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FB3D8A"/>
    <w:multiLevelType w:val="multilevel"/>
    <w:tmpl w:val="28E8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A82D88"/>
    <w:multiLevelType w:val="multilevel"/>
    <w:tmpl w:val="D88E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6E06B6F"/>
    <w:multiLevelType w:val="hybridMultilevel"/>
    <w:tmpl w:val="814CB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6926EA"/>
    <w:multiLevelType w:val="multilevel"/>
    <w:tmpl w:val="143C9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7A638A"/>
    <w:multiLevelType w:val="hybridMultilevel"/>
    <w:tmpl w:val="713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5171DC"/>
    <w:multiLevelType w:val="multilevel"/>
    <w:tmpl w:val="8CE4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F2C4873"/>
    <w:multiLevelType w:val="multilevel"/>
    <w:tmpl w:val="2D3A8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2C53FA"/>
    <w:multiLevelType w:val="multilevel"/>
    <w:tmpl w:val="D7521B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22D0F23"/>
    <w:multiLevelType w:val="multilevel"/>
    <w:tmpl w:val="C776877A"/>
    <w:lvl w:ilvl="0">
      <w:start w:val="1"/>
      <w:numFmt w:val="decimal"/>
      <w:lvlText w:val="%1."/>
      <w:lvlJc w:val="left"/>
      <w:pPr>
        <w:tabs>
          <w:tab w:val="num" w:pos="720"/>
        </w:tabs>
        <w:ind w:left="720" w:hanging="360"/>
      </w:pPr>
      <w:rPr>
        <w: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3350DD"/>
    <w:multiLevelType w:val="multilevel"/>
    <w:tmpl w:val="D5E0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861936"/>
    <w:multiLevelType w:val="multilevel"/>
    <w:tmpl w:val="E53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E045FF"/>
    <w:multiLevelType w:val="hybridMultilevel"/>
    <w:tmpl w:val="F7FC290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E1D731B"/>
    <w:multiLevelType w:val="hybridMultilevel"/>
    <w:tmpl w:val="4B2EB558"/>
    <w:lvl w:ilvl="0" w:tplc="5E6CB9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895782"/>
    <w:multiLevelType w:val="multilevel"/>
    <w:tmpl w:val="CA361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EE2306"/>
    <w:multiLevelType w:val="hybridMultilevel"/>
    <w:tmpl w:val="BEDE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3D2FD1"/>
    <w:multiLevelType w:val="multilevel"/>
    <w:tmpl w:val="4BD6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0B4768"/>
    <w:multiLevelType w:val="hybridMultilevel"/>
    <w:tmpl w:val="514420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C176DE"/>
    <w:multiLevelType w:val="hybridMultilevel"/>
    <w:tmpl w:val="FC06232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640A6"/>
    <w:multiLevelType w:val="multilevel"/>
    <w:tmpl w:val="B6BC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5954D66"/>
    <w:multiLevelType w:val="multilevel"/>
    <w:tmpl w:val="0CCE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2B7F6F"/>
    <w:multiLevelType w:val="hybridMultilevel"/>
    <w:tmpl w:val="37E24B2E"/>
    <w:lvl w:ilvl="0" w:tplc="757ECAA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516EC7"/>
    <w:multiLevelType w:val="multilevel"/>
    <w:tmpl w:val="14C2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0D6A6C"/>
    <w:multiLevelType w:val="hybridMultilevel"/>
    <w:tmpl w:val="566CDD96"/>
    <w:lvl w:ilvl="0" w:tplc="87E00648">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513D611E"/>
    <w:multiLevelType w:val="multilevel"/>
    <w:tmpl w:val="EFE60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4D1E79"/>
    <w:multiLevelType w:val="multilevel"/>
    <w:tmpl w:val="9C8A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8D3465"/>
    <w:multiLevelType w:val="multilevel"/>
    <w:tmpl w:val="708C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E206B3"/>
    <w:multiLevelType w:val="multilevel"/>
    <w:tmpl w:val="702E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991F26"/>
    <w:multiLevelType w:val="hybridMultilevel"/>
    <w:tmpl w:val="67CEB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6D3356"/>
    <w:multiLevelType w:val="multilevel"/>
    <w:tmpl w:val="4210E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2901E2"/>
    <w:multiLevelType w:val="multilevel"/>
    <w:tmpl w:val="E4286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846DE7"/>
    <w:multiLevelType w:val="hybridMultilevel"/>
    <w:tmpl w:val="EBD03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B778D8"/>
    <w:multiLevelType w:val="hybridMultilevel"/>
    <w:tmpl w:val="761A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3E3459"/>
    <w:multiLevelType w:val="hybridMultilevel"/>
    <w:tmpl w:val="CF72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6"/>
  </w:num>
  <w:num w:numId="4">
    <w:abstractNumId w:val="9"/>
  </w:num>
  <w:num w:numId="5">
    <w:abstractNumId w:val="32"/>
  </w:num>
  <w:num w:numId="6">
    <w:abstractNumId w:val="12"/>
  </w:num>
  <w:num w:numId="7">
    <w:abstractNumId w:val="31"/>
  </w:num>
  <w:num w:numId="8">
    <w:abstractNumId w:val="23"/>
  </w:num>
  <w:num w:numId="9">
    <w:abstractNumId w:val="27"/>
  </w:num>
  <w:num w:numId="10">
    <w:abstractNumId w:val="11"/>
  </w:num>
  <w:num w:numId="11">
    <w:abstractNumId w:val="13"/>
  </w:num>
  <w:num w:numId="12">
    <w:abstractNumId w:val="35"/>
  </w:num>
  <w:num w:numId="13">
    <w:abstractNumId w:val="2"/>
  </w:num>
  <w:num w:numId="14">
    <w:abstractNumId w:val="28"/>
  </w:num>
  <w:num w:numId="15">
    <w:abstractNumId w:val="0"/>
  </w:num>
  <w:num w:numId="16">
    <w:abstractNumId w:val="22"/>
  </w:num>
  <w:num w:numId="17">
    <w:abstractNumId w:val="18"/>
  </w:num>
  <w:num w:numId="18">
    <w:abstractNumId w:val="3"/>
  </w:num>
  <w:num w:numId="19">
    <w:abstractNumId w:val="16"/>
  </w:num>
  <w:num w:numId="20">
    <w:abstractNumId w:val="15"/>
  </w:num>
  <w:num w:numId="21">
    <w:abstractNumId w:val="30"/>
  </w:num>
  <w:num w:numId="22">
    <w:abstractNumId w:val="25"/>
  </w:num>
  <w:num w:numId="23">
    <w:abstractNumId w:val="29"/>
  </w:num>
  <w:num w:numId="24">
    <w:abstractNumId w:val="14"/>
  </w:num>
  <w:num w:numId="25">
    <w:abstractNumId w:val="5"/>
  </w:num>
  <w:num w:numId="26">
    <w:abstractNumId w:val="1"/>
  </w:num>
  <w:num w:numId="27">
    <w:abstractNumId w:val="17"/>
  </w:num>
  <w:num w:numId="28">
    <w:abstractNumId w:val="33"/>
  </w:num>
  <w:num w:numId="29">
    <w:abstractNumId w:val="34"/>
  </w:num>
  <w:num w:numId="30">
    <w:abstractNumId w:val="6"/>
  </w:num>
  <w:num w:numId="31">
    <w:abstractNumId w:val="7"/>
  </w:num>
  <w:num w:numId="32">
    <w:abstractNumId w:val="19"/>
  </w:num>
  <w:num w:numId="33">
    <w:abstractNumId w:val="20"/>
  </w:num>
  <w:num w:numId="34">
    <w:abstractNumId w:val="4"/>
  </w:num>
  <w:num w:numId="35">
    <w:abstractNumId w:val="8"/>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AA4"/>
    <w:rsid w:val="0004129D"/>
    <w:rsid w:val="000920A9"/>
    <w:rsid w:val="000B241D"/>
    <w:rsid w:val="00130589"/>
    <w:rsid w:val="00146E44"/>
    <w:rsid w:val="0016464E"/>
    <w:rsid w:val="00182659"/>
    <w:rsid w:val="00195AA4"/>
    <w:rsid w:val="001B1362"/>
    <w:rsid w:val="00236B94"/>
    <w:rsid w:val="00243D25"/>
    <w:rsid w:val="0025765B"/>
    <w:rsid w:val="002D094E"/>
    <w:rsid w:val="002D4444"/>
    <w:rsid w:val="002D666A"/>
    <w:rsid w:val="0034498E"/>
    <w:rsid w:val="00406E8C"/>
    <w:rsid w:val="00420FCB"/>
    <w:rsid w:val="0050769D"/>
    <w:rsid w:val="005370E7"/>
    <w:rsid w:val="005D082F"/>
    <w:rsid w:val="005D5C3C"/>
    <w:rsid w:val="005F24F3"/>
    <w:rsid w:val="00647E18"/>
    <w:rsid w:val="00665B57"/>
    <w:rsid w:val="00684D3F"/>
    <w:rsid w:val="006E06D5"/>
    <w:rsid w:val="0076709A"/>
    <w:rsid w:val="007D2D88"/>
    <w:rsid w:val="007D73BD"/>
    <w:rsid w:val="007E36F0"/>
    <w:rsid w:val="008272BD"/>
    <w:rsid w:val="008701C4"/>
    <w:rsid w:val="008B7224"/>
    <w:rsid w:val="008D21B4"/>
    <w:rsid w:val="00911655"/>
    <w:rsid w:val="00997EF3"/>
    <w:rsid w:val="009E74A6"/>
    <w:rsid w:val="00B15102"/>
    <w:rsid w:val="00BA6386"/>
    <w:rsid w:val="00C1215B"/>
    <w:rsid w:val="00C4141C"/>
    <w:rsid w:val="00C66306"/>
    <w:rsid w:val="00C82607"/>
    <w:rsid w:val="00CC7966"/>
    <w:rsid w:val="00CD644E"/>
    <w:rsid w:val="00D01BF5"/>
    <w:rsid w:val="00D37DE4"/>
    <w:rsid w:val="00D40B78"/>
    <w:rsid w:val="00D5459B"/>
    <w:rsid w:val="00D65370"/>
    <w:rsid w:val="00E824FC"/>
    <w:rsid w:val="00E95A2A"/>
    <w:rsid w:val="00EB6DD0"/>
    <w:rsid w:val="00F17FA6"/>
    <w:rsid w:val="00F62EE4"/>
    <w:rsid w:val="00F73454"/>
    <w:rsid w:val="00FA67B6"/>
    <w:rsid w:val="00FB6A2D"/>
    <w:rsid w:val="00FB7CBC"/>
    <w:rsid w:val="00FE4558"/>
    <w:rsid w:val="00FF5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2060BF-0A17-4556-BB9A-3085E6AC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D88"/>
    <w:pPr>
      <w:spacing w:after="0" w:line="240" w:lineRule="auto"/>
    </w:pPr>
    <w:rPr>
      <w:rFonts w:ascii="Times New Roman" w:eastAsia="Times New Roman" w:hAnsi="Times New Roman" w:cs="Times New Roman"/>
      <w:sz w:val="24"/>
      <w:szCs w:val="24"/>
      <w:lang w:val="en-IN"/>
    </w:rPr>
  </w:style>
  <w:style w:type="paragraph" w:styleId="Heading3">
    <w:name w:val="heading 3"/>
    <w:basedOn w:val="Normal"/>
    <w:link w:val="Heading3Char"/>
    <w:uiPriority w:val="9"/>
    <w:qFormat/>
    <w:rsid w:val="002D094E"/>
    <w:pPr>
      <w:spacing w:before="100" w:beforeAutospacing="1" w:after="100" w:afterAutospacing="1"/>
      <w:outlineLvl w:val="2"/>
    </w:pPr>
    <w:rPr>
      <w:b/>
      <w:bCs/>
      <w:sz w:val="27"/>
      <w:szCs w:val="27"/>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D094E"/>
    <w:rPr>
      <w:rFonts w:ascii="Times New Roman" w:eastAsia="Times New Roman" w:hAnsi="Times New Roman" w:cs="Times New Roman"/>
      <w:b/>
      <w:bCs/>
      <w:sz w:val="27"/>
      <w:szCs w:val="27"/>
    </w:rPr>
  </w:style>
  <w:style w:type="paragraph" w:styleId="NormalWeb">
    <w:name w:val="Normal (Web)"/>
    <w:basedOn w:val="Normal"/>
    <w:uiPriority w:val="99"/>
    <w:unhideWhenUsed/>
    <w:rsid w:val="002D094E"/>
    <w:pPr>
      <w:spacing w:before="100" w:beforeAutospacing="1" w:after="100" w:afterAutospacing="1"/>
    </w:pPr>
    <w:rPr>
      <w:lang w:val="en-US"/>
    </w:rPr>
  </w:style>
  <w:style w:type="character" w:styleId="Strong">
    <w:name w:val="Strong"/>
    <w:basedOn w:val="DefaultParagraphFont"/>
    <w:uiPriority w:val="22"/>
    <w:qFormat/>
    <w:rsid w:val="002D094E"/>
    <w:rPr>
      <w:b/>
      <w:bCs/>
    </w:rPr>
  </w:style>
  <w:style w:type="paragraph" w:styleId="ListParagraph">
    <w:name w:val="List Paragraph"/>
    <w:basedOn w:val="Normal"/>
    <w:uiPriority w:val="34"/>
    <w:qFormat/>
    <w:rsid w:val="009E74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11660">
      <w:bodyDiv w:val="1"/>
      <w:marLeft w:val="0"/>
      <w:marRight w:val="0"/>
      <w:marTop w:val="0"/>
      <w:marBottom w:val="0"/>
      <w:divBdr>
        <w:top w:val="none" w:sz="0" w:space="0" w:color="auto"/>
        <w:left w:val="none" w:sz="0" w:space="0" w:color="auto"/>
        <w:bottom w:val="none" w:sz="0" w:space="0" w:color="auto"/>
        <w:right w:val="none" w:sz="0" w:space="0" w:color="auto"/>
      </w:divBdr>
    </w:div>
    <w:div w:id="251819895">
      <w:bodyDiv w:val="1"/>
      <w:marLeft w:val="0"/>
      <w:marRight w:val="0"/>
      <w:marTop w:val="0"/>
      <w:marBottom w:val="0"/>
      <w:divBdr>
        <w:top w:val="none" w:sz="0" w:space="0" w:color="auto"/>
        <w:left w:val="none" w:sz="0" w:space="0" w:color="auto"/>
        <w:bottom w:val="none" w:sz="0" w:space="0" w:color="auto"/>
        <w:right w:val="none" w:sz="0" w:space="0" w:color="auto"/>
      </w:divBdr>
    </w:div>
    <w:div w:id="252593968">
      <w:bodyDiv w:val="1"/>
      <w:marLeft w:val="0"/>
      <w:marRight w:val="0"/>
      <w:marTop w:val="0"/>
      <w:marBottom w:val="0"/>
      <w:divBdr>
        <w:top w:val="none" w:sz="0" w:space="0" w:color="auto"/>
        <w:left w:val="none" w:sz="0" w:space="0" w:color="auto"/>
        <w:bottom w:val="none" w:sz="0" w:space="0" w:color="auto"/>
        <w:right w:val="none" w:sz="0" w:space="0" w:color="auto"/>
      </w:divBdr>
    </w:div>
    <w:div w:id="296376527">
      <w:bodyDiv w:val="1"/>
      <w:marLeft w:val="0"/>
      <w:marRight w:val="0"/>
      <w:marTop w:val="0"/>
      <w:marBottom w:val="0"/>
      <w:divBdr>
        <w:top w:val="none" w:sz="0" w:space="0" w:color="auto"/>
        <w:left w:val="none" w:sz="0" w:space="0" w:color="auto"/>
        <w:bottom w:val="none" w:sz="0" w:space="0" w:color="auto"/>
        <w:right w:val="none" w:sz="0" w:space="0" w:color="auto"/>
      </w:divBdr>
    </w:div>
    <w:div w:id="438640862">
      <w:bodyDiv w:val="1"/>
      <w:marLeft w:val="0"/>
      <w:marRight w:val="0"/>
      <w:marTop w:val="0"/>
      <w:marBottom w:val="0"/>
      <w:divBdr>
        <w:top w:val="none" w:sz="0" w:space="0" w:color="auto"/>
        <w:left w:val="none" w:sz="0" w:space="0" w:color="auto"/>
        <w:bottom w:val="none" w:sz="0" w:space="0" w:color="auto"/>
        <w:right w:val="none" w:sz="0" w:space="0" w:color="auto"/>
      </w:divBdr>
    </w:div>
    <w:div w:id="550463196">
      <w:bodyDiv w:val="1"/>
      <w:marLeft w:val="0"/>
      <w:marRight w:val="0"/>
      <w:marTop w:val="0"/>
      <w:marBottom w:val="0"/>
      <w:divBdr>
        <w:top w:val="none" w:sz="0" w:space="0" w:color="auto"/>
        <w:left w:val="none" w:sz="0" w:space="0" w:color="auto"/>
        <w:bottom w:val="none" w:sz="0" w:space="0" w:color="auto"/>
        <w:right w:val="none" w:sz="0" w:space="0" w:color="auto"/>
      </w:divBdr>
    </w:div>
    <w:div w:id="552161992">
      <w:bodyDiv w:val="1"/>
      <w:marLeft w:val="0"/>
      <w:marRight w:val="0"/>
      <w:marTop w:val="0"/>
      <w:marBottom w:val="0"/>
      <w:divBdr>
        <w:top w:val="none" w:sz="0" w:space="0" w:color="auto"/>
        <w:left w:val="none" w:sz="0" w:space="0" w:color="auto"/>
        <w:bottom w:val="none" w:sz="0" w:space="0" w:color="auto"/>
        <w:right w:val="none" w:sz="0" w:space="0" w:color="auto"/>
      </w:divBdr>
    </w:div>
    <w:div w:id="584652147">
      <w:bodyDiv w:val="1"/>
      <w:marLeft w:val="0"/>
      <w:marRight w:val="0"/>
      <w:marTop w:val="0"/>
      <w:marBottom w:val="0"/>
      <w:divBdr>
        <w:top w:val="none" w:sz="0" w:space="0" w:color="auto"/>
        <w:left w:val="none" w:sz="0" w:space="0" w:color="auto"/>
        <w:bottom w:val="none" w:sz="0" w:space="0" w:color="auto"/>
        <w:right w:val="none" w:sz="0" w:space="0" w:color="auto"/>
      </w:divBdr>
    </w:div>
    <w:div w:id="605890742">
      <w:bodyDiv w:val="1"/>
      <w:marLeft w:val="0"/>
      <w:marRight w:val="0"/>
      <w:marTop w:val="0"/>
      <w:marBottom w:val="0"/>
      <w:divBdr>
        <w:top w:val="none" w:sz="0" w:space="0" w:color="auto"/>
        <w:left w:val="none" w:sz="0" w:space="0" w:color="auto"/>
        <w:bottom w:val="none" w:sz="0" w:space="0" w:color="auto"/>
        <w:right w:val="none" w:sz="0" w:space="0" w:color="auto"/>
      </w:divBdr>
    </w:div>
    <w:div w:id="621377989">
      <w:bodyDiv w:val="1"/>
      <w:marLeft w:val="0"/>
      <w:marRight w:val="0"/>
      <w:marTop w:val="0"/>
      <w:marBottom w:val="0"/>
      <w:divBdr>
        <w:top w:val="none" w:sz="0" w:space="0" w:color="auto"/>
        <w:left w:val="none" w:sz="0" w:space="0" w:color="auto"/>
        <w:bottom w:val="none" w:sz="0" w:space="0" w:color="auto"/>
        <w:right w:val="none" w:sz="0" w:space="0" w:color="auto"/>
      </w:divBdr>
    </w:div>
    <w:div w:id="630747452">
      <w:bodyDiv w:val="1"/>
      <w:marLeft w:val="0"/>
      <w:marRight w:val="0"/>
      <w:marTop w:val="0"/>
      <w:marBottom w:val="0"/>
      <w:divBdr>
        <w:top w:val="none" w:sz="0" w:space="0" w:color="auto"/>
        <w:left w:val="none" w:sz="0" w:space="0" w:color="auto"/>
        <w:bottom w:val="none" w:sz="0" w:space="0" w:color="auto"/>
        <w:right w:val="none" w:sz="0" w:space="0" w:color="auto"/>
      </w:divBdr>
    </w:div>
    <w:div w:id="700859263">
      <w:bodyDiv w:val="1"/>
      <w:marLeft w:val="0"/>
      <w:marRight w:val="0"/>
      <w:marTop w:val="0"/>
      <w:marBottom w:val="0"/>
      <w:divBdr>
        <w:top w:val="none" w:sz="0" w:space="0" w:color="auto"/>
        <w:left w:val="none" w:sz="0" w:space="0" w:color="auto"/>
        <w:bottom w:val="none" w:sz="0" w:space="0" w:color="auto"/>
        <w:right w:val="none" w:sz="0" w:space="0" w:color="auto"/>
      </w:divBdr>
    </w:div>
    <w:div w:id="814685231">
      <w:bodyDiv w:val="1"/>
      <w:marLeft w:val="0"/>
      <w:marRight w:val="0"/>
      <w:marTop w:val="0"/>
      <w:marBottom w:val="0"/>
      <w:divBdr>
        <w:top w:val="none" w:sz="0" w:space="0" w:color="auto"/>
        <w:left w:val="none" w:sz="0" w:space="0" w:color="auto"/>
        <w:bottom w:val="none" w:sz="0" w:space="0" w:color="auto"/>
        <w:right w:val="none" w:sz="0" w:space="0" w:color="auto"/>
      </w:divBdr>
    </w:div>
    <w:div w:id="1070735308">
      <w:bodyDiv w:val="1"/>
      <w:marLeft w:val="0"/>
      <w:marRight w:val="0"/>
      <w:marTop w:val="0"/>
      <w:marBottom w:val="0"/>
      <w:divBdr>
        <w:top w:val="none" w:sz="0" w:space="0" w:color="auto"/>
        <w:left w:val="none" w:sz="0" w:space="0" w:color="auto"/>
        <w:bottom w:val="none" w:sz="0" w:space="0" w:color="auto"/>
        <w:right w:val="none" w:sz="0" w:space="0" w:color="auto"/>
      </w:divBdr>
    </w:div>
    <w:div w:id="1113479143">
      <w:bodyDiv w:val="1"/>
      <w:marLeft w:val="0"/>
      <w:marRight w:val="0"/>
      <w:marTop w:val="0"/>
      <w:marBottom w:val="0"/>
      <w:divBdr>
        <w:top w:val="none" w:sz="0" w:space="0" w:color="auto"/>
        <w:left w:val="none" w:sz="0" w:space="0" w:color="auto"/>
        <w:bottom w:val="none" w:sz="0" w:space="0" w:color="auto"/>
        <w:right w:val="none" w:sz="0" w:space="0" w:color="auto"/>
      </w:divBdr>
    </w:div>
    <w:div w:id="1170213770">
      <w:bodyDiv w:val="1"/>
      <w:marLeft w:val="0"/>
      <w:marRight w:val="0"/>
      <w:marTop w:val="0"/>
      <w:marBottom w:val="0"/>
      <w:divBdr>
        <w:top w:val="none" w:sz="0" w:space="0" w:color="auto"/>
        <w:left w:val="none" w:sz="0" w:space="0" w:color="auto"/>
        <w:bottom w:val="none" w:sz="0" w:space="0" w:color="auto"/>
        <w:right w:val="none" w:sz="0" w:space="0" w:color="auto"/>
      </w:divBdr>
    </w:div>
    <w:div w:id="1448743143">
      <w:bodyDiv w:val="1"/>
      <w:marLeft w:val="0"/>
      <w:marRight w:val="0"/>
      <w:marTop w:val="0"/>
      <w:marBottom w:val="0"/>
      <w:divBdr>
        <w:top w:val="none" w:sz="0" w:space="0" w:color="auto"/>
        <w:left w:val="none" w:sz="0" w:space="0" w:color="auto"/>
        <w:bottom w:val="none" w:sz="0" w:space="0" w:color="auto"/>
        <w:right w:val="none" w:sz="0" w:space="0" w:color="auto"/>
      </w:divBdr>
    </w:div>
    <w:div w:id="1503815901">
      <w:bodyDiv w:val="1"/>
      <w:marLeft w:val="0"/>
      <w:marRight w:val="0"/>
      <w:marTop w:val="0"/>
      <w:marBottom w:val="0"/>
      <w:divBdr>
        <w:top w:val="none" w:sz="0" w:space="0" w:color="auto"/>
        <w:left w:val="none" w:sz="0" w:space="0" w:color="auto"/>
        <w:bottom w:val="none" w:sz="0" w:space="0" w:color="auto"/>
        <w:right w:val="none" w:sz="0" w:space="0" w:color="auto"/>
      </w:divBdr>
    </w:div>
    <w:div w:id="1599484634">
      <w:bodyDiv w:val="1"/>
      <w:marLeft w:val="0"/>
      <w:marRight w:val="0"/>
      <w:marTop w:val="0"/>
      <w:marBottom w:val="0"/>
      <w:divBdr>
        <w:top w:val="none" w:sz="0" w:space="0" w:color="auto"/>
        <w:left w:val="none" w:sz="0" w:space="0" w:color="auto"/>
        <w:bottom w:val="none" w:sz="0" w:space="0" w:color="auto"/>
        <w:right w:val="none" w:sz="0" w:space="0" w:color="auto"/>
      </w:divBdr>
    </w:div>
    <w:div w:id="1600719478">
      <w:bodyDiv w:val="1"/>
      <w:marLeft w:val="0"/>
      <w:marRight w:val="0"/>
      <w:marTop w:val="0"/>
      <w:marBottom w:val="0"/>
      <w:divBdr>
        <w:top w:val="none" w:sz="0" w:space="0" w:color="auto"/>
        <w:left w:val="none" w:sz="0" w:space="0" w:color="auto"/>
        <w:bottom w:val="none" w:sz="0" w:space="0" w:color="auto"/>
        <w:right w:val="none" w:sz="0" w:space="0" w:color="auto"/>
      </w:divBdr>
    </w:div>
    <w:div w:id="1614824434">
      <w:bodyDiv w:val="1"/>
      <w:marLeft w:val="0"/>
      <w:marRight w:val="0"/>
      <w:marTop w:val="0"/>
      <w:marBottom w:val="0"/>
      <w:divBdr>
        <w:top w:val="none" w:sz="0" w:space="0" w:color="auto"/>
        <w:left w:val="none" w:sz="0" w:space="0" w:color="auto"/>
        <w:bottom w:val="none" w:sz="0" w:space="0" w:color="auto"/>
        <w:right w:val="none" w:sz="0" w:space="0" w:color="auto"/>
      </w:divBdr>
    </w:div>
    <w:div w:id="1645624724">
      <w:bodyDiv w:val="1"/>
      <w:marLeft w:val="0"/>
      <w:marRight w:val="0"/>
      <w:marTop w:val="0"/>
      <w:marBottom w:val="0"/>
      <w:divBdr>
        <w:top w:val="none" w:sz="0" w:space="0" w:color="auto"/>
        <w:left w:val="none" w:sz="0" w:space="0" w:color="auto"/>
        <w:bottom w:val="none" w:sz="0" w:space="0" w:color="auto"/>
        <w:right w:val="none" w:sz="0" w:space="0" w:color="auto"/>
      </w:divBdr>
    </w:div>
    <w:div w:id="1668247750">
      <w:bodyDiv w:val="1"/>
      <w:marLeft w:val="0"/>
      <w:marRight w:val="0"/>
      <w:marTop w:val="0"/>
      <w:marBottom w:val="0"/>
      <w:divBdr>
        <w:top w:val="none" w:sz="0" w:space="0" w:color="auto"/>
        <w:left w:val="none" w:sz="0" w:space="0" w:color="auto"/>
        <w:bottom w:val="none" w:sz="0" w:space="0" w:color="auto"/>
        <w:right w:val="none" w:sz="0" w:space="0" w:color="auto"/>
      </w:divBdr>
    </w:div>
    <w:div w:id="1701933125">
      <w:bodyDiv w:val="1"/>
      <w:marLeft w:val="0"/>
      <w:marRight w:val="0"/>
      <w:marTop w:val="0"/>
      <w:marBottom w:val="0"/>
      <w:divBdr>
        <w:top w:val="none" w:sz="0" w:space="0" w:color="auto"/>
        <w:left w:val="none" w:sz="0" w:space="0" w:color="auto"/>
        <w:bottom w:val="none" w:sz="0" w:space="0" w:color="auto"/>
        <w:right w:val="none" w:sz="0" w:space="0" w:color="auto"/>
      </w:divBdr>
    </w:div>
    <w:div w:id="1732345587">
      <w:bodyDiv w:val="1"/>
      <w:marLeft w:val="0"/>
      <w:marRight w:val="0"/>
      <w:marTop w:val="0"/>
      <w:marBottom w:val="0"/>
      <w:divBdr>
        <w:top w:val="none" w:sz="0" w:space="0" w:color="auto"/>
        <w:left w:val="none" w:sz="0" w:space="0" w:color="auto"/>
        <w:bottom w:val="none" w:sz="0" w:space="0" w:color="auto"/>
        <w:right w:val="none" w:sz="0" w:space="0" w:color="auto"/>
      </w:divBdr>
    </w:div>
    <w:div w:id="1799568070">
      <w:bodyDiv w:val="1"/>
      <w:marLeft w:val="0"/>
      <w:marRight w:val="0"/>
      <w:marTop w:val="0"/>
      <w:marBottom w:val="0"/>
      <w:divBdr>
        <w:top w:val="none" w:sz="0" w:space="0" w:color="auto"/>
        <w:left w:val="none" w:sz="0" w:space="0" w:color="auto"/>
        <w:bottom w:val="none" w:sz="0" w:space="0" w:color="auto"/>
        <w:right w:val="none" w:sz="0" w:space="0" w:color="auto"/>
      </w:divBdr>
    </w:div>
    <w:div w:id="1881014702">
      <w:bodyDiv w:val="1"/>
      <w:marLeft w:val="0"/>
      <w:marRight w:val="0"/>
      <w:marTop w:val="0"/>
      <w:marBottom w:val="0"/>
      <w:divBdr>
        <w:top w:val="none" w:sz="0" w:space="0" w:color="auto"/>
        <w:left w:val="none" w:sz="0" w:space="0" w:color="auto"/>
        <w:bottom w:val="none" w:sz="0" w:space="0" w:color="auto"/>
        <w:right w:val="none" w:sz="0" w:space="0" w:color="auto"/>
      </w:divBdr>
    </w:div>
    <w:div w:id="1885824733">
      <w:bodyDiv w:val="1"/>
      <w:marLeft w:val="0"/>
      <w:marRight w:val="0"/>
      <w:marTop w:val="0"/>
      <w:marBottom w:val="0"/>
      <w:divBdr>
        <w:top w:val="none" w:sz="0" w:space="0" w:color="auto"/>
        <w:left w:val="none" w:sz="0" w:space="0" w:color="auto"/>
        <w:bottom w:val="none" w:sz="0" w:space="0" w:color="auto"/>
        <w:right w:val="none" w:sz="0" w:space="0" w:color="auto"/>
      </w:divBdr>
    </w:div>
    <w:div w:id="19861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5</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63</cp:revision>
  <dcterms:created xsi:type="dcterms:W3CDTF">2024-11-11T05:56:00Z</dcterms:created>
  <dcterms:modified xsi:type="dcterms:W3CDTF">2024-11-13T06:40:00Z</dcterms:modified>
</cp:coreProperties>
</file>